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F6" w:rsidRDefault="005D6403">
      <w:pPr>
        <w:pStyle w:val="a4"/>
        <w:widowControl/>
        <w:spacing w:before="0" w:beforeAutospacing="0" w:after="0" w:afterAutospacing="0" w:line="560" w:lineRule="exact"/>
        <w:rPr>
          <w:rFonts w:ascii="黑体" w:eastAsia="黑体" w:hAnsi="黑体" w:cs="方正小标宋_GBK"/>
          <w:color w:val="000000"/>
          <w:sz w:val="32"/>
          <w:szCs w:val="32"/>
        </w:rPr>
      </w:pPr>
      <w:bookmarkStart w:id="0" w:name="_GoBack"/>
      <w:bookmarkEnd w:id="0"/>
      <w:r>
        <w:rPr>
          <w:rFonts w:ascii="黑体" w:eastAsia="黑体" w:hAnsi="黑体" w:cs="方正小标宋_GBK" w:hint="eastAsia"/>
          <w:color w:val="000000"/>
          <w:sz w:val="32"/>
          <w:szCs w:val="32"/>
        </w:rPr>
        <w:t>附件</w:t>
      </w:r>
    </w:p>
    <w:p w:rsidR="008E38F6" w:rsidRDefault="008E38F6">
      <w:pPr>
        <w:pStyle w:val="a4"/>
        <w:widowControl/>
        <w:spacing w:before="0" w:beforeAutospacing="0" w:after="0" w:afterAutospacing="0" w:line="560" w:lineRule="exact"/>
        <w:rPr>
          <w:rFonts w:ascii="方正小标宋简体" w:eastAsia="方正小标宋简体" w:hAnsi="方正小标宋_GBK" w:cs="方正小标宋_GBK"/>
          <w:color w:val="000000"/>
          <w:sz w:val="44"/>
          <w:szCs w:val="44"/>
        </w:rPr>
      </w:pPr>
    </w:p>
    <w:p w:rsidR="008E38F6" w:rsidRDefault="005D6403">
      <w:pPr>
        <w:pStyle w:val="a4"/>
        <w:widowControl/>
        <w:spacing w:before="0" w:beforeAutospacing="0" w:after="0" w:afterAutospacing="0" w:line="560" w:lineRule="exact"/>
        <w:jc w:val="center"/>
        <w:rPr>
          <w:rFonts w:ascii="方正小标宋简体" w:eastAsia="方正小标宋简体" w:hAnsi="方正小标宋_GBK" w:cs="方正小标宋_GBK"/>
          <w:color w:val="000000"/>
          <w:sz w:val="44"/>
          <w:szCs w:val="44"/>
        </w:rPr>
      </w:pPr>
      <w:r>
        <w:rPr>
          <w:rFonts w:ascii="方正小标宋简体" w:eastAsia="方正小标宋简体" w:hAnsi="方正小标宋_GBK" w:cs="方正小标宋_GBK" w:hint="eastAsia"/>
          <w:color w:val="000000"/>
          <w:sz w:val="44"/>
          <w:szCs w:val="44"/>
        </w:rPr>
        <w:t>广西“十四五”期间享受科技创新进口税收政策社会研发机构核定的实施办法</w:t>
      </w:r>
    </w:p>
    <w:p w:rsidR="008E38F6" w:rsidRDefault="005D6403">
      <w:pPr>
        <w:pStyle w:val="a4"/>
        <w:widowControl/>
        <w:spacing w:before="0" w:beforeAutospacing="0" w:after="0" w:afterAutospacing="0" w:line="560" w:lineRule="exact"/>
        <w:jc w:val="center"/>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（征求意见稿）</w:t>
      </w:r>
    </w:p>
    <w:p w:rsidR="008E38F6" w:rsidRDefault="008E38F6">
      <w:pPr>
        <w:widowControl/>
        <w:spacing w:line="560" w:lineRule="exact"/>
        <w:jc w:val="left"/>
        <w:rPr>
          <w:rFonts w:ascii="方正小标宋_GBK" w:eastAsia="方正小标宋_GBK" w:hAnsi="方正小标宋_GBK" w:cs="方正小标宋_GBK"/>
          <w:color w:val="000000"/>
          <w:kern w:val="0"/>
          <w:sz w:val="44"/>
          <w:szCs w:val="44"/>
        </w:rPr>
      </w:pPr>
    </w:p>
    <w:p w:rsidR="008E38F6" w:rsidRDefault="005D6403">
      <w:pPr>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为贯彻落实财政部、海关总署、税务总局等</w:t>
      </w:r>
      <w:r>
        <w:rPr>
          <w:rFonts w:ascii="Times New Roman" w:eastAsia="仿宋_GB2312" w:hAnsi="Times New Roman"/>
          <w:color w:val="000000"/>
          <w:sz w:val="32"/>
          <w:szCs w:val="32"/>
        </w:rPr>
        <w:t>11</w:t>
      </w:r>
      <w:r>
        <w:rPr>
          <w:rFonts w:ascii="Times New Roman" w:eastAsia="仿宋_GB2312" w:hAnsi="Times New Roman"/>
          <w:color w:val="000000"/>
          <w:sz w:val="32"/>
          <w:szCs w:val="32"/>
        </w:rPr>
        <w:t>部委《关于</w:t>
      </w:r>
      <w:r>
        <w:rPr>
          <w:rFonts w:ascii="Times New Roman" w:eastAsia="仿宋_GB2312" w:hAnsi="Times New Roman"/>
          <w:color w:val="000000"/>
          <w:sz w:val="32"/>
          <w:szCs w:val="32"/>
        </w:rPr>
        <w:t>“</w:t>
      </w:r>
      <w:r>
        <w:rPr>
          <w:rFonts w:ascii="Times New Roman" w:eastAsia="仿宋_GB2312" w:hAnsi="Times New Roman"/>
          <w:color w:val="000000"/>
          <w:sz w:val="32"/>
          <w:szCs w:val="32"/>
        </w:rPr>
        <w:t>十四五</w:t>
      </w:r>
      <w:r>
        <w:rPr>
          <w:rFonts w:ascii="Times New Roman" w:eastAsia="仿宋_GB2312" w:hAnsi="Times New Roman"/>
          <w:color w:val="000000"/>
          <w:sz w:val="32"/>
          <w:szCs w:val="32"/>
        </w:rPr>
        <w:t>”</w:t>
      </w:r>
      <w:r>
        <w:rPr>
          <w:rFonts w:ascii="Times New Roman" w:eastAsia="仿宋_GB2312" w:hAnsi="Times New Roman"/>
          <w:color w:val="000000"/>
          <w:sz w:val="32"/>
          <w:szCs w:val="32"/>
        </w:rPr>
        <w:t>期间支持科技创新进口税收政策管理办法的通知》（财关税〔</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w:t>
      </w:r>
      <w:r>
        <w:rPr>
          <w:rFonts w:ascii="Times New Roman" w:eastAsia="仿宋_GB2312" w:hAnsi="Times New Roman"/>
          <w:color w:val="000000"/>
          <w:sz w:val="32"/>
          <w:szCs w:val="32"/>
        </w:rPr>
        <w:t>24</w:t>
      </w:r>
      <w:r>
        <w:rPr>
          <w:rFonts w:ascii="Times New Roman" w:eastAsia="仿宋_GB2312" w:hAnsi="Times New Roman"/>
          <w:color w:val="000000"/>
          <w:sz w:val="32"/>
          <w:szCs w:val="32"/>
        </w:rPr>
        <w:t>号）（以下简称《通知》）文件精神，做好广西</w:t>
      </w:r>
      <w:r>
        <w:rPr>
          <w:rFonts w:ascii="Times New Roman" w:eastAsia="仿宋_GB2312" w:hAnsi="Times New Roman"/>
          <w:color w:val="000000"/>
          <w:sz w:val="32"/>
          <w:szCs w:val="32"/>
        </w:rPr>
        <w:t>“</w:t>
      </w:r>
      <w:r>
        <w:rPr>
          <w:rFonts w:ascii="Times New Roman" w:eastAsia="仿宋_GB2312" w:hAnsi="Times New Roman"/>
          <w:color w:val="000000"/>
          <w:sz w:val="32"/>
          <w:szCs w:val="32"/>
        </w:rPr>
        <w:t>十四五</w:t>
      </w:r>
      <w:r>
        <w:rPr>
          <w:rFonts w:ascii="Times New Roman" w:eastAsia="仿宋_GB2312" w:hAnsi="Times New Roman"/>
          <w:color w:val="000000"/>
          <w:sz w:val="32"/>
          <w:szCs w:val="32"/>
        </w:rPr>
        <w:t>”</w:t>
      </w:r>
      <w:r>
        <w:rPr>
          <w:rFonts w:ascii="Times New Roman" w:eastAsia="仿宋_GB2312" w:hAnsi="Times New Roman"/>
          <w:color w:val="000000"/>
          <w:sz w:val="32"/>
          <w:szCs w:val="32"/>
        </w:rPr>
        <w:t>期间支持科技创新进口税收政策的落地实施，制定本办法。</w:t>
      </w:r>
    </w:p>
    <w:p w:rsidR="008E38F6" w:rsidRDefault="005D6403">
      <w:pPr>
        <w:widowControl/>
        <w:spacing w:line="560" w:lineRule="exact"/>
        <w:ind w:firstLineChars="200" w:firstLine="640"/>
        <w:rPr>
          <w:rFonts w:ascii="Times New Roman" w:eastAsia="仿宋_GB2312" w:hAnsi="Times New Roman"/>
          <w:color w:val="000000"/>
          <w:sz w:val="32"/>
          <w:szCs w:val="32"/>
        </w:rPr>
      </w:pPr>
      <w:r>
        <w:rPr>
          <w:rFonts w:ascii="Times New Roman" w:eastAsia="黑体" w:hAnsi="Times New Roman"/>
          <w:sz w:val="32"/>
          <w:szCs w:val="32"/>
        </w:rPr>
        <w:t>一、主要任务</w:t>
      </w:r>
    </w:p>
    <w:p w:rsidR="008E38F6" w:rsidRDefault="005D6403">
      <w:pPr>
        <w:widowControl/>
        <w:spacing w:line="560" w:lineRule="exact"/>
        <w:ind w:firstLineChars="200" w:firstLine="643"/>
        <w:rPr>
          <w:rFonts w:ascii="仿宋_GB2312" w:eastAsia="仿宋_GB2312" w:hAnsi="仿宋_GB2312" w:cs="仿宋_GB2312"/>
          <w:color w:val="000000"/>
          <w:kern w:val="0"/>
          <w:sz w:val="32"/>
          <w:szCs w:val="32"/>
          <w:lang w:bidi="ar"/>
        </w:rPr>
      </w:pPr>
      <w:r>
        <w:rPr>
          <w:rFonts w:ascii="Times New Roman" w:eastAsia="楷体_GB2312" w:hAnsi="Times New Roman"/>
          <w:b/>
          <w:color w:val="000000"/>
          <w:kern w:val="0"/>
          <w:sz w:val="32"/>
          <w:szCs w:val="32"/>
          <w:lang w:bidi="ar"/>
        </w:rPr>
        <w:t>（一）关于科研院所名单核定。</w:t>
      </w:r>
      <w:r>
        <w:rPr>
          <w:rFonts w:ascii="Times New Roman" w:eastAsia="仿宋_GB2312" w:hAnsi="Times New Roman"/>
          <w:color w:val="000000"/>
          <w:kern w:val="0"/>
          <w:sz w:val="32"/>
          <w:szCs w:val="32"/>
          <w:lang w:bidi="ar"/>
        </w:rPr>
        <w:t>自治区科技厅会同自治区财政厅、教育厅、广西税务局、南宁海关核定从事科学研究工作的自治区级、地市级科研院所名单（包括科研院所所属具有独立法人资格的图书馆、研究生院名单），核定结果由自治区科技厅函告南宁海关，抄送自治区财政厅、广西税务局，</w:t>
      </w:r>
      <w:r>
        <w:rPr>
          <w:rFonts w:ascii="Times New Roman" w:eastAsia="仿宋_GB2312" w:hAnsi="Times New Roman"/>
          <w:color w:val="000000"/>
          <w:kern w:val="0"/>
          <w:sz w:val="32"/>
          <w:szCs w:val="32"/>
          <w:lang w:bidi="ar"/>
        </w:rPr>
        <w:t>并抄送科技部。</w:t>
      </w:r>
      <w:r>
        <w:rPr>
          <w:rFonts w:ascii="仿宋_GB2312" w:eastAsia="仿宋_GB2312" w:hAnsi="仿宋_GB2312" w:cs="仿宋_GB2312" w:hint="eastAsia"/>
          <w:b/>
          <w:color w:val="000000"/>
          <w:kern w:val="0"/>
          <w:sz w:val="32"/>
          <w:szCs w:val="32"/>
          <w:lang w:bidi="ar"/>
        </w:rPr>
        <w:t>（责任单位：自治区科技厅、财政厅、教育厅，国家税务总局广西壮族自治区税务局，南宁海关，各市科技局）</w:t>
      </w:r>
    </w:p>
    <w:p w:rsidR="008E38F6" w:rsidRDefault="005D6403">
      <w:pPr>
        <w:widowControl/>
        <w:spacing w:line="56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color w:val="000000"/>
          <w:kern w:val="0"/>
          <w:sz w:val="32"/>
          <w:szCs w:val="32"/>
          <w:lang w:bidi="ar"/>
        </w:rPr>
        <w:t>本办法所称科研院所名单，包括科研院所所属具有独立法人资格的图书馆、研究生院名单。</w:t>
      </w:r>
    </w:p>
    <w:p w:rsidR="008E38F6" w:rsidRDefault="005D6403">
      <w:pPr>
        <w:widowControl/>
        <w:spacing w:line="560" w:lineRule="exact"/>
        <w:ind w:firstLineChars="200" w:firstLine="643"/>
        <w:rPr>
          <w:rFonts w:ascii="仿宋_GB2312" w:eastAsia="仿宋_GB2312" w:hAnsi="仿宋_GB2312" w:cs="仿宋_GB2312"/>
          <w:b/>
          <w:color w:val="000000"/>
          <w:kern w:val="0"/>
          <w:sz w:val="32"/>
          <w:szCs w:val="32"/>
          <w:lang w:bidi="ar"/>
        </w:rPr>
      </w:pPr>
      <w:r>
        <w:rPr>
          <w:rFonts w:ascii="Times New Roman" w:eastAsia="楷体_GB2312" w:hAnsi="Times New Roman"/>
          <w:b/>
          <w:color w:val="000000"/>
          <w:kern w:val="0"/>
          <w:sz w:val="32"/>
          <w:szCs w:val="32"/>
          <w:lang w:bidi="ar"/>
        </w:rPr>
        <w:t>（二）关于转制类机构名单核定。</w:t>
      </w:r>
      <w:r>
        <w:rPr>
          <w:rFonts w:ascii="Times New Roman" w:eastAsia="仿宋_GB2312" w:hAnsi="Times New Roman"/>
          <w:color w:val="000000"/>
          <w:kern w:val="0"/>
          <w:sz w:val="32"/>
          <w:szCs w:val="32"/>
          <w:lang w:bidi="ar"/>
        </w:rPr>
        <w:t>自治区科技厅会同自治区财政厅、国资委、广西税务局、南宁海关</w:t>
      </w:r>
      <w:r>
        <w:rPr>
          <w:rFonts w:ascii="Times New Roman" w:eastAsia="仿宋_GB2312" w:hAnsi="Times New Roman"/>
          <w:color w:val="000000"/>
          <w:sz w:val="32"/>
          <w:szCs w:val="32"/>
        </w:rPr>
        <w:t>根据国办发〔</w:t>
      </w:r>
      <w:r>
        <w:rPr>
          <w:rFonts w:ascii="Times New Roman" w:eastAsia="仿宋_GB2312" w:hAnsi="Times New Roman"/>
          <w:color w:val="000000"/>
          <w:sz w:val="32"/>
          <w:szCs w:val="32"/>
        </w:rPr>
        <w:t>2000</w:t>
      </w:r>
      <w:r>
        <w:rPr>
          <w:rFonts w:ascii="Times New Roman" w:eastAsia="仿宋_GB2312" w:hAnsi="Times New Roman"/>
          <w:color w:val="000000"/>
          <w:sz w:val="32"/>
          <w:szCs w:val="32"/>
        </w:rPr>
        <w:t>〕</w:t>
      </w:r>
      <w:r>
        <w:rPr>
          <w:rFonts w:ascii="Times New Roman" w:eastAsia="仿宋_GB2312" w:hAnsi="Times New Roman"/>
          <w:color w:val="000000"/>
          <w:sz w:val="32"/>
          <w:szCs w:val="32"/>
        </w:rPr>
        <w:t>38</w:t>
      </w:r>
      <w:r>
        <w:rPr>
          <w:rFonts w:ascii="Times New Roman" w:eastAsia="仿宋_GB2312" w:hAnsi="Times New Roman"/>
          <w:color w:val="000000"/>
          <w:sz w:val="32"/>
          <w:szCs w:val="32"/>
        </w:rPr>
        <w:t>号文件，核定所属已转制为企业或进入企业的主要从事科学研究</w:t>
      </w:r>
      <w:r>
        <w:rPr>
          <w:rFonts w:ascii="Times New Roman" w:eastAsia="仿宋_GB2312" w:hAnsi="Times New Roman"/>
          <w:color w:val="000000"/>
          <w:sz w:val="32"/>
          <w:szCs w:val="32"/>
        </w:rPr>
        <w:lastRenderedPageBreak/>
        <w:t>和技术开发工作的机构名单，核定结果由自治区科技厅函告南宁海关，抄送自治区财政厅、</w:t>
      </w:r>
      <w:r>
        <w:rPr>
          <w:rFonts w:ascii="Times New Roman" w:eastAsia="仿宋_GB2312" w:hAnsi="Times New Roman"/>
          <w:color w:val="000000"/>
          <w:kern w:val="0"/>
          <w:sz w:val="32"/>
          <w:szCs w:val="32"/>
          <w:lang w:bidi="ar"/>
        </w:rPr>
        <w:t>广西税务局，</w:t>
      </w:r>
      <w:r>
        <w:rPr>
          <w:rFonts w:ascii="Times New Roman" w:eastAsia="仿宋_GB2312" w:hAnsi="Times New Roman"/>
          <w:color w:val="000000"/>
          <w:sz w:val="32"/>
          <w:szCs w:val="32"/>
        </w:rPr>
        <w:t>并报送科技部。</w:t>
      </w:r>
      <w:r>
        <w:rPr>
          <w:rFonts w:ascii="仿宋_GB2312" w:eastAsia="仿宋_GB2312" w:hAnsi="仿宋_GB2312" w:cs="仿宋_GB2312" w:hint="eastAsia"/>
          <w:b/>
          <w:color w:val="000000"/>
          <w:kern w:val="0"/>
          <w:sz w:val="32"/>
          <w:szCs w:val="32"/>
          <w:lang w:bidi="ar"/>
        </w:rPr>
        <w:t>（责任单位：自治区科技厅、财政厅、国资委，国家税务总局广西壮族自治区税务局，南宁海关）</w:t>
      </w:r>
    </w:p>
    <w:p w:rsidR="008E38F6" w:rsidRDefault="005D6403">
      <w:pPr>
        <w:widowControl/>
        <w:spacing w:line="560" w:lineRule="exact"/>
        <w:ind w:firstLineChars="200" w:firstLine="643"/>
        <w:rPr>
          <w:rFonts w:ascii="仿宋_GB2312" w:eastAsia="仿宋_GB2312" w:hAnsi="仿宋_GB2312" w:cs="仿宋_GB2312"/>
          <w:color w:val="000000"/>
          <w:kern w:val="0"/>
          <w:sz w:val="32"/>
          <w:szCs w:val="32"/>
          <w:lang w:bidi="ar"/>
        </w:rPr>
      </w:pPr>
      <w:r>
        <w:rPr>
          <w:rFonts w:ascii="Times New Roman" w:eastAsia="楷体_GB2312" w:hAnsi="Times New Roman"/>
          <w:b/>
          <w:color w:val="000000"/>
          <w:sz w:val="32"/>
          <w:szCs w:val="32"/>
        </w:rPr>
        <w:t>（三）关于</w:t>
      </w:r>
      <w:r>
        <w:rPr>
          <w:rFonts w:ascii="Times New Roman" w:eastAsia="楷体_GB2312" w:hAnsi="Times New Roman"/>
          <w:b/>
          <w:color w:val="000000"/>
          <w:kern w:val="0"/>
          <w:sz w:val="32"/>
          <w:szCs w:val="32"/>
          <w:lang w:bidi="ar"/>
        </w:rPr>
        <w:t>科技类民办</w:t>
      </w:r>
      <w:proofErr w:type="gramStart"/>
      <w:r>
        <w:rPr>
          <w:rFonts w:ascii="Times New Roman" w:eastAsia="楷体_GB2312" w:hAnsi="Times New Roman"/>
          <w:b/>
          <w:color w:val="000000"/>
          <w:kern w:val="0"/>
          <w:sz w:val="32"/>
          <w:szCs w:val="32"/>
          <w:lang w:bidi="ar"/>
        </w:rPr>
        <w:t>非机构</w:t>
      </w:r>
      <w:proofErr w:type="gramEnd"/>
      <w:r>
        <w:rPr>
          <w:rFonts w:ascii="Times New Roman" w:eastAsia="楷体_GB2312" w:hAnsi="Times New Roman"/>
          <w:b/>
          <w:color w:val="000000"/>
          <w:kern w:val="0"/>
          <w:sz w:val="32"/>
          <w:szCs w:val="32"/>
          <w:lang w:bidi="ar"/>
        </w:rPr>
        <w:t>名单核定。</w:t>
      </w:r>
      <w:r>
        <w:rPr>
          <w:rFonts w:ascii="Times New Roman" w:eastAsia="仿宋_GB2312" w:hAnsi="Times New Roman"/>
          <w:color w:val="000000"/>
          <w:sz w:val="32"/>
          <w:szCs w:val="32"/>
        </w:rPr>
        <w:t>自治区科技厅</w:t>
      </w:r>
      <w:r>
        <w:rPr>
          <w:rFonts w:ascii="Times New Roman" w:eastAsia="仿宋_GB2312" w:hAnsi="Times New Roman"/>
          <w:color w:val="000000"/>
          <w:kern w:val="0"/>
          <w:sz w:val="32"/>
          <w:szCs w:val="32"/>
          <w:lang w:bidi="ar"/>
        </w:rPr>
        <w:t>会同自治区民政厅、财政厅、广西税务局、南宁海关核定科技类民办非企业单位性质的社会研发机构名单，核定结果由自治区科技厅函告南宁海关，抄送自治区民政厅、财政厅、广西税务局，并报送科技部。</w:t>
      </w:r>
      <w:r>
        <w:rPr>
          <w:rFonts w:ascii="仿宋_GB2312" w:eastAsia="仿宋_GB2312" w:hAnsi="仿宋_GB2312" w:cs="仿宋_GB2312" w:hint="eastAsia"/>
          <w:b/>
          <w:color w:val="000000"/>
          <w:kern w:val="0"/>
          <w:sz w:val="32"/>
          <w:szCs w:val="32"/>
          <w:lang w:bidi="ar"/>
        </w:rPr>
        <w:t>（责任单位：自治区科技厅、民政厅、财政厅，国家税务总局广西壮族自治区税务局，南宁海关）</w:t>
      </w:r>
    </w:p>
    <w:p w:rsidR="008E38F6" w:rsidRDefault="005D6403">
      <w:pPr>
        <w:pStyle w:val="a4"/>
        <w:widowControl/>
        <w:spacing w:before="0" w:beforeAutospacing="0" w:after="0" w:afterAutospacing="0" w:line="560" w:lineRule="exact"/>
        <w:ind w:firstLineChars="200" w:firstLine="643"/>
        <w:jc w:val="both"/>
        <w:rPr>
          <w:rFonts w:ascii="仿宋_GB2312" w:eastAsia="仿宋_GB2312" w:hAnsi="仿宋_GB2312" w:cs="仿宋_GB2312"/>
          <w:color w:val="000000"/>
          <w:sz w:val="32"/>
          <w:szCs w:val="32"/>
          <w:lang w:bidi="ar"/>
        </w:rPr>
      </w:pPr>
      <w:r>
        <w:rPr>
          <w:rFonts w:ascii="Times New Roman" w:eastAsia="楷体_GB2312" w:hAnsi="Times New Roman"/>
          <w:b/>
          <w:color w:val="000000"/>
          <w:sz w:val="32"/>
          <w:szCs w:val="32"/>
          <w:lang w:bidi="ar"/>
        </w:rPr>
        <w:t>（四）关于事业单位性质机构名单核定。</w:t>
      </w:r>
      <w:r>
        <w:rPr>
          <w:rFonts w:ascii="Times New Roman" w:eastAsia="仿宋_GB2312" w:hAnsi="Times New Roman"/>
          <w:color w:val="000000"/>
          <w:sz w:val="32"/>
          <w:szCs w:val="32"/>
          <w:lang w:bidi="ar"/>
        </w:rPr>
        <w:t>自治区科技厅会同自治区财政厅、自治区党委编办、广西税务局、南宁海关核定</w:t>
      </w:r>
      <w:r>
        <w:rPr>
          <w:rFonts w:ascii="Times New Roman" w:eastAsia="仿宋_GB2312" w:hAnsi="Times New Roman"/>
          <w:color w:val="000000"/>
          <w:sz w:val="32"/>
          <w:szCs w:val="32"/>
          <w:lang w:bidi="ar"/>
        </w:rPr>
        <w:t>事业单位性质的社会研发机构名单，核定结果由自治区科技厅函告南宁海关，抄送自治区财政厅、广西税务局，并报送科技部。</w:t>
      </w:r>
      <w:r>
        <w:rPr>
          <w:rFonts w:ascii="仿宋_GB2312" w:eastAsia="仿宋_GB2312" w:hAnsi="仿宋_GB2312" w:cs="仿宋_GB2312" w:hint="eastAsia"/>
          <w:b/>
          <w:color w:val="000000"/>
          <w:sz w:val="32"/>
          <w:szCs w:val="32"/>
          <w:lang w:bidi="ar"/>
        </w:rPr>
        <w:t>（责任单位：自治区科技厅、财政厅，自治区党委编办，国家税务总局广西壮族自治区税务局，南宁海关）</w:t>
      </w:r>
    </w:p>
    <w:p w:rsidR="008E38F6" w:rsidRDefault="005D6403">
      <w:pPr>
        <w:pStyle w:val="a4"/>
        <w:spacing w:before="0" w:beforeAutospacing="0" w:after="0" w:afterAutospacing="0" w:line="560" w:lineRule="exact"/>
        <w:ind w:firstLineChars="200" w:firstLine="640"/>
        <w:jc w:val="both"/>
        <w:rPr>
          <w:rFonts w:ascii="Times New Roman" w:eastAsia="仿宋_GB2312" w:hAnsi="Times New Roman"/>
          <w:bCs/>
          <w:color w:val="000000"/>
          <w:sz w:val="32"/>
          <w:szCs w:val="32"/>
        </w:rPr>
      </w:pPr>
      <w:r>
        <w:rPr>
          <w:rFonts w:ascii="Times New Roman" w:eastAsia="仿宋_GB2312" w:hAnsi="Times New Roman"/>
          <w:color w:val="000000"/>
          <w:sz w:val="32"/>
          <w:szCs w:val="32"/>
          <w:lang w:bidi="ar"/>
        </w:rPr>
        <w:t>享受政策的事业单位性质的社会研发机构，应符合科技部和自治区科技主管部门规定的事业单位性质的社会研发机构（新型研发机构）条件。广西新型研发机构相关条件参照《广西新型产业技术研发机构管理办法（试行）》（</w:t>
      </w:r>
      <w:proofErr w:type="gramStart"/>
      <w:r>
        <w:rPr>
          <w:rFonts w:ascii="Times New Roman" w:eastAsia="仿宋_GB2312" w:hAnsi="Times New Roman"/>
          <w:color w:val="000000"/>
          <w:sz w:val="32"/>
          <w:szCs w:val="32"/>
          <w:lang w:bidi="ar"/>
        </w:rPr>
        <w:t>桂科政</w:t>
      </w:r>
      <w:proofErr w:type="gramEnd"/>
      <w:r>
        <w:rPr>
          <w:rFonts w:ascii="Times New Roman" w:eastAsia="仿宋_GB2312" w:hAnsi="Times New Roman"/>
          <w:color w:val="000000"/>
          <w:sz w:val="32"/>
          <w:szCs w:val="32"/>
          <w:lang w:bidi="ar"/>
        </w:rPr>
        <w:t>字〔</w:t>
      </w:r>
      <w:r>
        <w:rPr>
          <w:rFonts w:ascii="Times New Roman" w:eastAsia="仿宋_GB2312" w:hAnsi="Times New Roman"/>
          <w:color w:val="000000"/>
          <w:sz w:val="32"/>
          <w:szCs w:val="32"/>
          <w:lang w:bidi="ar"/>
        </w:rPr>
        <w:t>2019</w:t>
      </w:r>
      <w:r>
        <w:rPr>
          <w:rFonts w:ascii="Times New Roman" w:eastAsia="仿宋_GB2312" w:hAnsi="Times New Roman"/>
          <w:color w:val="000000"/>
          <w:sz w:val="32"/>
          <w:szCs w:val="32"/>
          <w:lang w:bidi="ar"/>
        </w:rPr>
        <w:t>〕</w:t>
      </w:r>
      <w:r>
        <w:rPr>
          <w:rFonts w:ascii="Times New Roman" w:eastAsia="仿宋_GB2312" w:hAnsi="Times New Roman"/>
          <w:color w:val="000000"/>
          <w:sz w:val="32"/>
          <w:szCs w:val="32"/>
          <w:lang w:bidi="ar"/>
        </w:rPr>
        <w:t>45</w:t>
      </w:r>
      <w:r>
        <w:rPr>
          <w:rFonts w:ascii="Times New Roman" w:eastAsia="仿宋_GB2312" w:hAnsi="Times New Roman"/>
          <w:color w:val="000000"/>
          <w:sz w:val="32"/>
          <w:szCs w:val="32"/>
          <w:lang w:bidi="ar"/>
        </w:rPr>
        <w:t>号）。</w:t>
      </w:r>
    </w:p>
    <w:p w:rsidR="008E38F6" w:rsidRDefault="005D6403">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w:t>
      </w:r>
      <w:r>
        <w:rPr>
          <w:rFonts w:ascii="Times New Roman" w:eastAsia="黑体" w:hAnsi="Times New Roman"/>
          <w:sz w:val="32"/>
          <w:szCs w:val="32"/>
        </w:rPr>
        <w:t>、有关要求</w:t>
      </w:r>
    </w:p>
    <w:p w:rsidR="008E38F6" w:rsidRDefault="005D6403">
      <w:pPr>
        <w:pStyle w:val="a4"/>
        <w:spacing w:before="0" w:beforeAutospacing="0" w:after="0" w:afterAutospacing="0" w:line="560" w:lineRule="exact"/>
        <w:ind w:firstLineChars="200" w:firstLine="643"/>
        <w:jc w:val="both"/>
        <w:rPr>
          <w:rFonts w:ascii="Times New Roman" w:eastAsia="仿宋_GB2312" w:hAnsi="Times New Roman"/>
          <w:color w:val="000000"/>
          <w:sz w:val="32"/>
          <w:szCs w:val="32"/>
          <w:lang w:bidi="ar"/>
        </w:rPr>
      </w:pPr>
      <w:r>
        <w:rPr>
          <w:rFonts w:ascii="Times New Roman" w:eastAsia="楷体_GB2312" w:hAnsi="Times New Roman"/>
          <w:b/>
          <w:color w:val="000000"/>
          <w:sz w:val="32"/>
          <w:szCs w:val="32"/>
          <w:lang w:bidi="ar"/>
        </w:rPr>
        <w:t>（一）建立工作机制。</w:t>
      </w:r>
      <w:r>
        <w:rPr>
          <w:rFonts w:ascii="Times New Roman" w:eastAsia="仿宋_GB2312" w:hAnsi="Times New Roman"/>
          <w:color w:val="000000"/>
          <w:sz w:val="32"/>
          <w:szCs w:val="32"/>
          <w:lang w:bidi="ar"/>
        </w:rPr>
        <w:t>按照《通知》要求，自印发之日后</w:t>
      </w:r>
      <w:r>
        <w:rPr>
          <w:rFonts w:ascii="Times New Roman" w:eastAsia="仿宋_GB2312" w:hAnsi="Times New Roman"/>
          <w:color w:val="000000"/>
          <w:sz w:val="32"/>
          <w:szCs w:val="32"/>
          <w:lang w:bidi="ar"/>
        </w:rPr>
        <w:t>90</w:t>
      </w:r>
      <w:r>
        <w:rPr>
          <w:rFonts w:ascii="Times New Roman" w:eastAsia="仿宋_GB2312" w:hAnsi="Times New Roman"/>
          <w:color w:val="000000"/>
          <w:sz w:val="32"/>
          <w:szCs w:val="32"/>
          <w:lang w:bidi="ar"/>
        </w:rPr>
        <w:t>日内，自治区科技主管部门会同各相关单位制定具体实施办</w:t>
      </w:r>
      <w:r>
        <w:rPr>
          <w:rFonts w:ascii="Times New Roman" w:eastAsia="仿宋_GB2312" w:hAnsi="Times New Roman"/>
          <w:color w:val="000000"/>
          <w:sz w:val="32"/>
          <w:szCs w:val="32"/>
          <w:lang w:bidi="ar"/>
        </w:rPr>
        <w:lastRenderedPageBreak/>
        <w:t>法，明确工作任务，抓好进口税收政策落到实处，使有关社会研发机构享受政策红利，真正得到实惠。</w:t>
      </w:r>
    </w:p>
    <w:p w:rsidR="008E38F6" w:rsidRDefault="005D6403">
      <w:pPr>
        <w:pStyle w:val="a4"/>
        <w:spacing w:before="0" w:beforeAutospacing="0" w:after="0" w:afterAutospacing="0" w:line="560" w:lineRule="exact"/>
        <w:ind w:firstLineChars="200" w:firstLine="643"/>
        <w:jc w:val="both"/>
        <w:rPr>
          <w:rFonts w:ascii="Times New Roman" w:eastAsia="仿宋_GB2312" w:hAnsi="Times New Roman"/>
          <w:color w:val="000000"/>
          <w:sz w:val="32"/>
          <w:szCs w:val="32"/>
          <w:lang w:bidi="ar"/>
        </w:rPr>
      </w:pPr>
      <w:r>
        <w:rPr>
          <w:rFonts w:ascii="Times New Roman" w:eastAsia="楷体_GB2312" w:hAnsi="Times New Roman"/>
          <w:b/>
          <w:color w:val="000000"/>
          <w:sz w:val="32"/>
          <w:szCs w:val="32"/>
          <w:lang w:bidi="ar"/>
        </w:rPr>
        <w:t>（二）加强宣传倡导。</w:t>
      </w:r>
      <w:r>
        <w:rPr>
          <w:rFonts w:ascii="Times New Roman" w:eastAsia="仿宋_GB2312" w:hAnsi="Times New Roman"/>
          <w:color w:val="000000"/>
          <w:sz w:val="32"/>
          <w:szCs w:val="32"/>
          <w:lang w:bidi="ar"/>
        </w:rPr>
        <w:t>加强《通知》宣传力度，让符合条件的社会研发机构应知尽知，并积极做好进口单位名单、清单核定和免税退税指导工作，营造支持科技创新良好环境。</w:t>
      </w:r>
    </w:p>
    <w:p w:rsidR="008E38F6" w:rsidRDefault="005D6403">
      <w:pPr>
        <w:pStyle w:val="a4"/>
        <w:spacing w:before="0" w:beforeAutospacing="0" w:after="0" w:afterAutospacing="0" w:line="560" w:lineRule="exact"/>
        <w:ind w:firstLineChars="200" w:firstLine="643"/>
        <w:jc w:val="both"/>
        <w:rPr>
          <w:rFonts w:ascii="Times New Roman" w:eastAsia="仿宋_GB2312" w:hAnsi="Times New Roman"/>
          <w:color w:val="000000"/>
          <w:sz w:val="32"/>
          <w:szCs w:val="32"/>
          <w:lang w:bidi="ar"/>
        </w:rPr>
      </w:pPr>
      <w:r>
        <w:rPr>
          <w:rFonts w:ascii="Times New Roman" w:eastAsia="楷体_GB2312" w:hAnsi="Times New Roman"/>
          <w:b/>
          <w:color w:val="000000"/>
          <w:sz w:val="32"/>
          <w:szCs w:val="32"/>
          <w:lang w:bidi="ar"/>
        </w:rPr>
        <w:t>（三）加强追踪问效。</w:t>
      </w:r>
      <w:r>
        <w:rPr>
          <w:rFonts w:ascii="Times New Roman" w:eastAsia="仿宋_GB2312" w:hAnsi="Times New Roman"/>
          <w:color w:val="000000"/>
          <w:sz w:val="32"/>
          <w:szCs w:val="32"/>
          <w:lang w:bidi="ar"/>
        </w:rPr>
        <w:t>及时跟踪进口税收政策实施进展及成效，坚决防止进口单位以虚报情况获得免税资格和违反规定使用免税进口商品的行为，以及滥用职权、玩忽职守、徇私舞弊等违法违纪行为。</w:t>
      </w:r>
    </w:p>
    <w:p w:rsidR="008E38F6" w:rsidRDefault="005D6403">
      <w:pPr>
        <w:pStyle w:val="a4"/>
        <w:spacing w:before="0" w:beforeAutospacing="0" w:after="0" w:afterAutospacing="0" w:line="560" w:lineRule="exact"/>
        <w:ind w:firstLineChars="200" w:firstLine="640"/>
        <w:jc w:val="both"/>
        <w:rPr>
          <w:rFonts w:ascii="Times New Roman" w:eastAsia="仿宋_GB2312" w:hAnsi="Times New Roman"/>
          <w:color w:val="000000"/>
          <w:sz w:val="32"/>
          <w:szCs w:val="32"/>
          <w:lang w:bidi="ar"/>
        </w:rPr>
      </w:pPr>
      <w:r>
        <w:rPr>
          <w:rFonts w:ascii="Times New Roman" w:eastAsia="仿宋_GB2312" w:hAnsi="Times New Roman"/>
          <w:color w:val="000000"/>
          <w:sz w:val="32"/>
          <w:szCs w:val="32"/>
          <w:lang w:bidi="ar"/>
        </w:rPr>
        <w:t>本办法有效期为</w:t>
      </w:r>
      <w:r>
        <w:rPr>
          <w:rFonts w:ascii="Times New Roman" w:eastAsia="仿宋_GB2312" w:hAnsi="Times New Roman"/>
          <w:color w:val="000000"/>
          <w:sz w:val="32"/>
          <w:szCs w:val="32"/>
          <w:lang w:bidi="ar"/>
        </w:rPr>
        <w:t>2021</w:t>
      </w:r>
      <w:r>
        <w:rPr>
          <w:rFonts w:ascii="Times New Roman" w:eastAsia="仿宋_GB2312" w:hAnsi="Times New Roman"/>
          <w:color w:val="000000"/>
          <w:sz w:val="32"/>
          <w:szCs w:val="32"/>
          <w:lang w:bidi="ar"/>
        </w:rPr>
        <w:t>年</w:t>
      </w:r>
      <w:r>
        <w:rPr>
          <w:rFonts w:ascii="Times New Roman" w:eastAsia="仿宋_GB2312" w:hAnsi="Times New Roman"/>
          <w:color w:val="000000"/>
          <w:sz w:val="32"/>
          <w:szCs w:val="32"/>
          <w:lang w:bidi="ar"/>
        </w:rPr>
        <w:t>1</w:t>
      </w:r>
      <w:r>
        <w:rPr>
          <w:rFonts w:ascii="Times New Roman" w:eastAsia="仿宋_GB2312" w:hAnsi="Times New Roman"/>
          <w:color w:val="000000"/>
          <w:sz w:val="32"/>
          <w:szCs w:val="32"/>
          <w:lang w:bidi="ar"/>
        </w:rPr>
        <w:t>月</w:t>
      </w:r>
      <w:r>
        <w:rPr>
          <w:rFonts w:ascii="Times New Roman" w:eastAsia="仿宋_GB2312" w:hAnsi="Times New Roman"/>
          <w:color w:val="000000"/>
          <w:sz w:val="32"/>
          <w:szCs w:val="32"/>
          <w:lang w:bidi="ar"/>
        </w:rPr>
        <w:t>1</w:t>
      </w:r>
      <w:r>
        <w:rPr>
          <w:rFonts w:ascii="Times New Roman" w:eastAsia="仿宋_GB2312" w:hAnsi="Times New Roman"/>
          <w:color w:val="000000"/>
          <w:sz w:val="32"/>
          <w:szCs w:val="32"/>
          <w:lang w:bidi="ar"/>
        </w:rPr>
        <w:t>日至</w:t>
      </w:r>
      <w:r>
        <w:rPr>
          <w:rFonts w:ascii="Times New Roman" w:eastAsia="仿宋_GB2312" w:hAnsi="Times New Roman"/>
          <w:color w:val="000000"/>
          <w:sz w:val="32"/>
          <w:szCs w:val="32"/>
          <w:lang w:bidi="ar"/>
        </w:rPr>
        <w:t>2025</w:t>
      </w:r>
      <w:r>
        <w:rPr>
          <w:rFonts w:ascii="Times New Roman" w:eastAsia="仿宋_GB2312" w:hAnsi="Times New Roman"/>
          <w:color w:val="000000"/>
          <w:sz w:val="32"/>
          <w:szCs w:val="32"/>
          <w:lang w:bidi="ar"/>
        </w:rPr>
        <w:t>年</w:t>
      </w:r>
      <w:r>
        <w:rPr>
          <w:rFonts w:ascii="Times New Roman" w:eastAsia="仿宋_GB2312" w:hAnsi="Times New Roman"/>
          <w:color w:val="000000"/>
          <w:sz w:val="32"/>
          <w:szCs w:val="32"/>
          <w:lang w:bidi="ar"/>
        </w:rPr>
        <w:t>12</w:t>
      </w:r>
      <w:r>
        <w:rPr>
          <w:rFonts w:ascii="Times New Roman" w:eastAsia="仿宋_GB2312" w:hAnsi="Times New Roman"/>
          <w:color w:val="000000"/>
          <w:sz w:val="32"/>
          <w:szCs w:val="32"/>
          <w:lang w:bidi="ar"/>
        </w:rPr>
        <w:t>月</w:t>
      </w:r>
      <w:r>
        <w:rPr>
          <w:rFonts w:ascii="Times New Roman" w:eastAsia="仿宋_GB2312" w:hAnsi="Times New Roman"/>
          <w:color w:val="000000"/>
          <w:sz w:val="32"/>
          <w:szCs w:val="32"/>
          <w:lang w:bidi="ar"/>
        </w:rPr>
        <w:t>31</w:t>
      </w:r>
      <w:r>
        <w:rPr>
          <w:rFonts w:ascii="Times New Roman" w:eastAsia="仿宋_GB2312" w:hAnsi="Times New Roman"/>
          <w:color w:val="000000"/>
          <w:sz w:val="32"/>
          <w:szCs w:val="32"/>
          <w:lang w:bidi="ar"/>
        </w:rPr>
        <w:t>日。</w:t>
      </w:r>
    </w:p>
    <w:p w:rsidR="008E38F6" w:rsidRDefault="008E38F6">
      <w:pPr>
        <w:pStyle w:val="a4"/>
        <w:spacing w:before="0" w:beforeAutospacing="0" w:after="0" w:afterAutospacing="0" w:line="560" w:lineRule="exact"/>
        <w:jc w:val="both"/>
        <w:rPr>
          <w:rFonts w:ascii="Times New Roman" w:eastAsia="仿宋_GB2312" w:hAnsi="Times New Roman"/>
          <w:color w:val="000000"/>
          <w:sz w:val="32"/>
          <w:szCs w:val="32"/>
          <w:lang w:bidi="ar"/>
        </w:rPr>
      </w:pPr>
    </w:p>
    <w:p w:rsidR="008E38F6" w:rsidRDefault="005D6403">
      <w:pPr>
        <w:pStyle w:val="a4"/>
        <w:spacing w:before="0" w:beforeAutospacing="0" w:after="0" w:afterAutospacing="0" w:line="560" w:lineRule="exact"/>
        <w:ind w:firstLineChars="200" w:firstLine="640"/>
        <w:jc w:val="both"/>
        <w:rPr>
          <w:rFonts w:ascii="Times New Roman" w:eastAsia="仿宋_GB2312" w:hAnsi="Times New Roman"/>
          <w:color w:val="000000"/>
          <w:sz w:val="32"/>
          <w:szCs w:val="32"/>
          <w:lang w:bidi="ar"/>
        </w:rPr>
      </w:pPr>
      <w:r>
        <w:rPr>
          <w:rFonts w:ascii="Times New Roman" w:eastAsia="仿宋_GB2312" w:hAnsi="Times New Roman"/>
          <w:color w:val="000000"/>
          <w:sz w:val="32"/>
          <w:szCs w:val="32"/>
          <w:lang w:bidi="ar"/>
        </w:rPr>
        <w:t>附件：</w:t>
      </w:r>
      <w:r>
        <w:rPr>
          <w:rFonts w:ascii="Times New Roman" w:eastAsia="仿宋_GB2312" w:hAnsi="Times New Roman"/>
          <w:color w:val="000000"/>
          <w:sz w:val="32"/>
          <w:szCs w:val="32"/>
          <w:lang w:bidi="ar"/>
        </w:rPr>
        <w:t>1</w:t>
      </w:r>
      <w:r>
        <w:rPr>
          <w:rFonts w:ascii="Times New Roman" w:eastAsia="仿宋_GB2312" w:hAnsi="Times New Roman" w:hint="eastAsia"/>
          <w:color w:val="000000"/>
          <w:sz w:val="32"/>
          <w:szCs w:val="32"/>
          <w:lang w:bidi="ar"/>
        </w:rPr>
        <w:t>-1</w:t>
      </w:r>
      <w:r>
        <w:rPr>
          <w:rFonts w:ascii="Times New Roman" w:eastAsia="仿宋_GB2312" w:hAnsi="Times New Roman"/>
          <w:color w:val="000000"/>
          <w:sz w:val="32"/>
          <w:szCs w:val="32"/>
          <w:lang w:bidi="ar"/>
        </w:rPr>
        <w:t>．社会研发机构名单（样表）</w:t>
      </w:r>
    </w:p>
    <w:p w:rsidR="008E38F6" w:rsidRDefault="005D6403">
      <w:pPr>
        <w:pStyle w:val="a4"/>
        <w:widowControl/>
        <w:spacing w:before="0" w:beforeAutospacing="0" w:after="0" w:afterAutospacing="0" w:line="560" w:lineRule="exact"/>
        <w:ind w:firstLineChars="500" w:firstLine="1600"/>
        <w:rPr>
          <w:rFonts w:ascii="Times New Roman" w:eastAsia="仿宋_GB2312" w:hAnsi="Times New Roman"/>
          <w:color w:val="000000"/>
          <w:sz w:val="32"/>
          <w:szCs w:val="32"/>
          <w:lang w:bidi="ar"/>
        </w:rPr>
      </w:pPr>
      <w:r>
        <w:rPr>
          <w:rFonts w:ascii="Times New Roman" w:eastAsia="仿宋_GB2312" w:hAnsi="Times New Roman" w:hint="eastAsia"/>
          <w:color w:val="000000"/>
          <w:sz w:val="32"/>
          <w:szCs w:val="32"/>
          <w:lang w:bidi="ar"/>
        </w:rPr>
        <w:t>1-2</w:t>
      </w:r>
      <w:r>
        <w:rPr>
          <w:rFonts w:ascii="Times New Roman" w:eastAsia="仿宋_GB2312" w:hAnsi="Times New Roman"/>
          <w:color w:val="000000"/>
          <w:sz w:val="32"/>
          <w:szCs w:val="32"/>
          <w:lang w:bidi="ar"/>
        </w:rPr>
        <w:t>．</w:t>
      </w:r>
      <w:r>
        <w:rPr>
          <w:rFonts w:ascii="Times New Roman" w:eastAsia="仿宋_GB2312" w:hAnsi="Times New Roman" w:hint="eastAsia"/>
          <w:color w:val="000000"/>
          <w:sz w:val="32"/>
          <w:szCs w:val="32"/>
          <w:lang w:bidi="ar"/>
        </w:rPr>
        <w:t>工作安排</w:t>
      </w:r>
    </w:p>
    <w:p w:rsidR="008E38F6" w:rsidRDefault="008E38F6">
      <w:pPr>
        <w:pStyle w:val="a4"/>
        <w:widowControl/>
        <w:spacing w:before="0" w:beforeAutospacing="0" w:after="0" w:afterAutospacing="0" w:line="560" w:lineRule="exact"/>
        <w:rPr>
          <w:rFonts w:ascii="Times New Roman" w:eastAsia="黑体" w:hAnsi="Times New Roman"/>
          <w:color w:val="000000"/>
          <w:sz w:val="32"/>
          <w:szCs w:val="32"/>
          <w:lang w:bidi="ar"/>
        </w:rPr>
        <w:sectPr w:rsidR="008E38F6">
          <w:footerReference w:type="even" r:id="rId8"/>
          <w:footerReference w:type="default" r:id="rId9"/>
          <w:pgSz w:w="11906" w:h="16838"/>
          <w:pgMar w:top="2098" w:right="1474" w:bottom="1417" w:left="1587" w:header="851" w:footer="992" w:gutter="0"/>
          <w:cols w:space="720"/>
          <w:docGrid w:type="lines" w:linePitch="312"/>
        </w:sectPr>
      </w:pPr>
    </w:p>
    <w:p w:rsidR="008E38F6" w:rsidRDefault="005D6403">
      <w:pPr>
        <w:pStyle w:val="a4"/>
        <w:widowControl/>
        <w:spacing w:before="0" w:beforeAutospacing="0" w:after="0" w:afterAutospacing="0" w:line="56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1-1</w:t>
      </w:r>
    </w:p>
    <w:p w:rsidR="008E38F6" w:rsidRDefault="008E38F6">
      <w:pPr>
        <w:pStyle w:val="a4"/>
        <w:widowControl/>
        <w:spacing w:before="0" w:beforeAutospacing="0" w:after="0" w:afterAutospacing="0" w:line="560" w:lineRule="exact"/>
        <w:rPr>
          <w:rFonts w:ascii="黑体" w:eastAsia="黑体" w:hAnsi="黑体" w:cs="黑体"/>
          <w:color w:val="000000"/>
          <w:sz w:val="32"/>
          <w:szCs w:val="32"/>
        </w:rPr>
      </w:pPr>
    </w:p>
    <w:p w:rsidR="008E38F6" w:rsidRDefault="005D6403">
      <w:pPr>
        <w:spacing w:line="560" w:lineRule="exact"/>
        <w:jc w:val="center"/>
        <w:rPr>
          <w:rFonts w:ascii="方正小标宋简体" w:eastAsia="方正小标宋简体" w:hAnsi="仿宋_GB2312" w:cs="仿宋_GB2312"/>
          <w:color w:val="000000"/>
          <w:sz w:val="44"/>
          <w:szCs w:val="44"/>
          <w:lang w:bidi="ar"/>
        </w:rPr>
      </w:pPr>
      <w:r>
        <w:rPr>
          <w:rFonts w:ascii="方正小标宋简体" w:eastAsia="方正小标宋简体" w:hAnsi="仿宋_GB2312" w:cs="仿宋_GB2312" w:hint="eastAsia"/>
          <w:color w:val="000000"/>
          <w:sz w:val="44"/>
          <w:szCs w:val="44"/>
          <w:lang w:bidi="ar"/>
        </w:rPr>
        <w:t>社会研发机构名单（样表）</w:t>
      </w:r>
    </w:p>
    <w:p w:rsidR="008E38F6" w:rsidRDefault="008E38F6">
      <w:pPr>
        <w:pStyle w:val="a4"/>
        <w:widowControl/>
        <w:spacing w:before="0" w:beforeAutospacing="0" w:after="0" w:afterAutospacing="0" w:line="560" w:lineRule="exact"/>
        <w:rPr>
          <w:rFonts w:ascii="方正小标宋简体" w:eastAsia="方正小标宋简体" w:hAnsi="仿宋_GB2312" w:cs="仿宋_GB2312"/>
          <w:color w:val="000000"/>
          <w:sz w:val="44"/>
          <w:szCs w:val="44"/>
          <w:lang w:bidi="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213"/>
        <w:gridCol w:w="955"/>
        <w:gridCol w:w="2198"/>
        <w:gridCol w:w="1500"/>
        <w:gridCol w:w="1038"/>
        <w:gridCol w:w="995"/>
      </w:tblGrid>
      <w:tr w:rsidR="008E38F6">
        <w:trPr>
          <w:trHeight w:val="1331"/>
          <w:jc w:val="center"/>
        </w:trPr>
        <w:tc>
          <w:tcPr>
            <w:tcW w:w="623" w:type="dxa"/>
            <w:vAlign w:val="center"/>
          </w:tcPr>
          <w:p w:rsidR="008E38F6" w:rsidRDefault="005D6403">
            <w:pPr>
              <w:jc w:val="center"/>
              <w:rPr>
                <w:rFonts w:ascii="黑体" w:eastAsia="黑体" w:hAnsi="黑体"/>
                <w:bCs/>
                <w:sz w:val="24"/>
                <w:szCs w:val="32"/>
              </w:rPr>
            </w:pPr>
            <w:r>
              <w:rPr>
                <w:rFonts w:ascii="黑体" w:eastAsia="黑体" w:hAnsi="黑体" w:hint="eastAsia"/>
                <w:bCs/>
                <w:sz w:val="24"/>
                <w:szCs w:val="32"/>
              </w:rPr>
              <w:t>序号</w:t>
            </w:r>
          </w:p>
        </w:tc>
        <w:tc>
          <w:tcPr>
            <w:tcW w:w="1213" w:type="dxa"/>
            <w:vAlign w:val="center"/>
          </w:tcPr>
          <w:p w:rsidR="008E38F6" w:rsidRDefault="005D6403">
            <w:pPr>
              <w:jc w:val="center"/>
              <w:rPr>
                <w:rFonts w:ascii="黑体" w:eastAsia="黑体" w:hAnsi="黑体"/>
                <w:bCs/>
                <w:sz w:val="24"/>
                <w:szCs w:val="32"/>
              </w:rPr>
            </w:pPr>
            <w:r>
              <w:rPr>
                <w:rFonts w:ascii="黑体" w:eastAsia="黑体" w:hAnsi="黑体" w:hint="eastAsia"/>
                <w:bCs/>
                <w:sz w:val="24"/>
                <w:szCs w:val="32"/>
              </w:rPr>
              <w:t>机构</w:t>
            </w:r>
          </w:p>
          <w:p w:rsidR="008E38F6" w:rsidRDefault="005D6403">
            <w:pPr>
              <w:jc w:val="center"/>
              <w:rPr>
                <w:rFonts w:ascii="黑体" w:eastAsia="黑体" w:hAnsi="黑体"/>
                <w:bCs/>
                <w:sz w:val="24"/>
                <w:szCs w:val="32"/>
              </w:rPr>
            </w:pPr>
            <w:r>
              <w:rPr>
                <w:rFonts w:ascii="黑体" w:eastAsia="黑体" w:hAnsi="黑体" w:hint="eastAsia"/>
                <w:bCs/>
                <w:sz w:val="24"/>
                <w:szCs w:val="32"/>
              </w:rPr>
              <w:t>名称</w:t>
            </w:r>
          </w:p>
        </w:tc>
        <w:tc>
          <w:tcPr>
            <w:tcW w:w="955" w:type="dxa"/>
            <w:vAlign w:val="center"/>
          </w:tcPr>
          <w:p w:rsidR="008E38F6" w:rsidRDefault="005D6403">
            <w:pPr>
              <w:jc w:val="center"/>
              <w:rPr>
                <w:rFonts w:ascii="黑体" w:eastAsia="黑体" w:hAnsi="黑体"/>
                <w:bCs/>
                <w:sz w:val="24"/>
                <w:szCs w:val="32"/>
              </w:rPr>
            </w:pPr>
            <w:r>
              <w:rPr>
                <w:rFonts w:ascii="黑体" w:eastAsia="黑体" w:hAnsi="黑体" w:hint="eastAsia"/>
                <w:bCs/>
                <w:sz w:val="24"/>
                <w:szCs w:val="32"/>
              </w:rPr>
              <w:t>机构</w:t>
            </w:r>
          </w:p>
          <w:p w:rsidR="008E38F6" w:rsidRDefault="005D6403">
            <w:pPr>
              <w:jc w:val="center"/>
              <w:rPr>
                <w:rFonts w:ascii="黑体" w:eastAsia="黑体" w:hAnsi="黑体"/>
                <w:bCs/>
                <w:sz w:val="24"/>
                <w:szCs w:val="32"/>
              </w:rPr>
            </w:pPr>
            <w:r>
              <w:rPr>
                <w:rFonts w:ascii="黑体" w:eastAsia="黑体" w:hAnsi="黑体" w:hint="eastAsia"/>
                <w:bCs/>
                <w:sz w:val="24"/>
                <w:szCs w:val="32"/>
              </w:rPr>
              <w:t>类型</w:t>
            </w:r>
          </w:p>
        </w:tc>
        <w:tc>
          <w:tcPr>
            <w:tcW w:w="2198" w:type="dxa"/>
            <w:vAlign w:val="center"/>
          </w:tcPr>
          <w:p w:rsidR="008E38F6" w:rsidRDefault="005D6403">
            <w:pPr>
              <w:jc w:val="center"/>
              <w:rPr>
                <w:rFonts w:ascii="黑体" w:eastAsia="黑体" w:hAnsi="黑体"/>
                <w:bCs/>
                <w:sz w:val="24"/>
                <w:szCs w:val="32"/>
              </w:rPr>
            </w:pPr>
            <w:r>
              <w:rPr>
                <w:rFonts w:ascii="黑体" w:eastAsia="黑体" w:hAnsi="黑体" w:hint="eastAsia"/>
                <w:bCs/>
                <w:sz w:val="24"/>
                <w:szCs w:val="32"/>
              </w:rPr>
              <w:t>统一社会信用代码或纳税识别号</w:t>
            </w:r>
          </w:p>
        </w:tc>
        <w:tc>
          <w:tcPr>
            <w:tcW w:w="1500" w:type="dxa"/>
            <w:vAlign w:val="center"/>
          </w:tcPr>
          <w:p w:rsidR="008E38F6" w:rsidRDefault="005D6403">
            <w:pPr>
              <w:jc w:val="center"/>
              <w:rPr>
                <w:rFonts w:ascii="黑体" w:eastAsia="黑体" w:hAnsi="黑体"/>
                <w:bCs/>
                <w:sz w:val="24"/>
                <w:szCs w:val="32"/>
              </w:rPr>
            </w:pPr>
            <w:r>
              <w:rPr>
                <w:rFonts w:ascii="黑体" w:eastAsia="黑体" w:hAnsi="黑体" w:hint="eastAsia"/>
                <w:bCs/>
                <w:sz w:val="24"/>
                <w:szCs w:val="32"/>
              </w:rPr>
              <w:t>业务主管单位</w:t>
            </w:r>
            <w:r>
              <w:rPr>
                <w:rFonts w:ascii="黑体" w:eastAsia="黑体" w:hAnsi="黑体"/>
                <w:bCs/>
                <w:sz w:val="24"/>
                <w:szCs w:val="32"/>
              </w:rPr>
              <w:t>/</w:t>
            </w:r>
            <w:r>
              <w:rPr>
                <w:rFonts w:ascii="黑体" w:eastAsia="黑体" w:hAnsi="黑体" w:hint="eastAsia"/>
                <w:bCs/>
                <w:sz w:val="24"/>
                <w:szCs w:val="32"/>
              </w:rPr>
              <w:t>行业管理部门</w:t>
            </w:r>
          </w:p>
        </w:tc>
        <w:tc>
          <w:tcPr>
            <w:tcW w:w="1038" w:type="dxa"/>
            <w:vAlign w:val="center"/>
          </w:tcPr>
          <w:p w:rsidR="008E38F6" w:rsidRDefault="005D6403">
            <w:pPr>
              <w:jc w:val="center"/>
              <w:rPr>
                <w:rFonts w:ascii="黑体" w:eastAsia="黑体" w:hAnsi="黑体"/>
                <w:bCs/>
                <w:sz w:val="24"/>
                <w:szCs w:val="32"/>
              </w:rPr>
            </w:pPr>
            <w:r>
              <w:rPr>
                <w:rFonts w:ascii="黑体" w:eastAsia="黑体" w:hAnsi="黑体" w:hint="eastAsia"/>
                <w:bCs/>
                <w:sz w:val="24"/>
                <w:szCs w:val="32"/>
              </w:rPr>
              <w:t>成立</w:t>
            </w:r>
          </w:p>
          <w:p w:rsidR="008E38F6" w:rsidRDefault="005D6403">
            <w:pPr>
              <w:jc w:val="center"/>
              <w:rPr>
                <w:rFonts w:ascii="黑体" w:eastAsia="黑体" w:hAnsi="黑体"/>
                <w:bCs/>
                <w:sz w:val="24"/>
                <w:szCs w:val="32"/>
              </w:rPr>
            </w:pPr>
            <w:r>
              <w:rPr>
                <w:rFonts w:ascii="黑体" w:eastAsia="黑体" w:hAnsi="黑体" w:hint="eastAsia"/>
                <w:bCs/>
                <w:sz w:val="24"/>
                <w:szCs w:val="32"/>
              </w:rPr>
              <w:t>时间</w:t>
            </w:r>
          </w:p>
        </w:tc>
        <w:tc>
          <w:tcPr>
            <w:tcW w:w="995" w:type="dxa"/>
            <w:vAlign w:val="center"/>
          </w:tcPr>
          <w:p w:rsidR="008E38F6" w:rsidRDefault="005D6403">
            <w:pPr>
              <w:jc w:val="center"/>
              <w:rPr>
                <w:rFonts w:ascii="黑体" w:eastAsia="黑体" w:hAnsi="黑体"/>
                <w:bCs/>
                <w:sz w:val="24"/>
                <w:szCs w:val="32"/>
              </w:rPr>
            </w:pPr>
            <w:r>
              <w:rPr>
                <w:rFonts w:ascii="黑体" w:eastAsia="黑体" w:hAnsi="黑体" w:hint="eastAsia"/>
                <w:bCs/>
                <w:sz w:val="24"/>
                <w:szCs w:val="32"/>
              </w:rPr>
              <w:t>企业海关代码</w:t>
            </w:r>
          </w:p>
        </w:tc>
      </w:tr>
      <w:tr w:rsidR="008E38F6">
        <w:trPr>
          <w:trHeight w:val="575"/>
          <w:jc w:val="center"/>
        </w:trPr>
        <w:tc>
          <w:tcPr>
            <w:tcW w:w="623" w:type="dxa"/>
          </w:tcPr>
          <w:p w:rsidR="008E38F6" w:rsidRDefault="008E38F6"/>
        </w:tc>
        <w:tc>
          <w:tcPr>
            <w:tcW w:w="1213" w:type="dxa"/>
          </w:tcPr>
          <w:p w:rsidR="008E38F6" w:rsidRDefault="008E38F6"/>
        </w:tc>
        <w:tc>
          <w:tcPr>
            <w:tcW w:w="955" w:type="dxa"/>
          </w:tcPr>
          <w:p w:rsidR="008E38F6" w:rsidRDefault="008E38F6"/>
        </w:tc>
        <w:tc>
          <w:tcPr>
            <w:tcW w:w="2198" w:type="dxa"/>
          </w:tcPr>
          <w:p w:rsidR="008E38F6" w:rsidRDefault="008E38F6"/>
        </w:tc>
        <w:tc>
          <w:tcPr>
            <w:tcW w:w="1500" w:type="dxa"/>
          </w:tcPr>
          <w:p w:rsidR="008E38F6" w:rsidRDefault="008E38F6"/>
        </w:tc>
        <w:tc>
          <w:tcPr>
            <w:tcW w:w="1038" w:type="dxa"/>
          </w:tcPr>
          <w:p w:rsidR="008E38F6" w:rsidRDefault="008E38F6"/>
        </w:tc>
        <w:tc>
          <w:tcPr>
            <w:tcW w:w="995" w:type="dxa"/>
          </w:tcPr>
          <w:p w:rsidR="008E38F6" w:rsidRDefault="008E38F6"/>
        </w:tc>
      </w:tr>
      <w:tr w:rsidR="008E38F6">
        <w:trPr>
          <w:trHeight w:val="570"/>
          <w:jc w:val="center"/>
        </w:trPr>
        <w:tc>
          <w:tcPr>
            <w:tcW w:w="623" w:type="dxa"/>
          </w:tcPr>
          <w:p w:rsidR="008E38F6" w:rsidRDefault="008E38F6"/>
        </w:tc>
        <w:tc>
          <w:tcPr>
            <w:tcW w:w="1213" w:type="dxa"/>
          </w:tcPr>
          <w:p w:rsidR="008E38F6" w:rsidRDefault="008E38F6"/>
        </w:tc>
        <w:tc>
          <w:tcPr>
            <w:tcW w:w="955" w:type="dxa"/>
          </w:tcPr>
          <w:p w:rsidR="008E38F6" w:rsidRDefault="008E38F6"/>
        </w:tc>
        <w:tc>
          <w:tcPr>
            <w:tcW w:w="2198" w:type="dxa"/>
          </w:tcPr>
          <w:p w:rsidR="008E38F6" w:rsidRDefault="008E38F6"/>
        </w:tc>
        <w:tc>
          <w:tcPr>
            <w:tcW w:w="1500" w:type="dxa"/>
          </w:tcPr>
          <w:p w:rsidR="008E38F6" w:rsidRDefault="008E38F6"/>
        </w:tc>
        <w:tc>
          <w:tcPr>
            <w:tcW w:w="1038" w:type="dxa"/>
          </w:tcPr>
          <w:p w:rsidR="008E38F6" w:rsidRDefault="008E38F6"/>
        </w:tc>
        <w:tc>
          <w:tcPr>
            <w:tcW w:w="995" w:type="dxa"/>
          </w:tcPr>
          <w:p w:rsidR="008E38F6" w:rsidRDefault="008E38F6"/>
        </w:tc>
      </w:tr>
      <w:tr w:rsidR="008E38F6">
        <w:trPr>
          <w:trHeight w:val="570"/>
          <w:jc w:val="center"/>
        </w:trPr>
        <w:tc>
          <w:tcPr>
            <w:tcW w:w="623" w:type="dxa"/>
          </w:tcPr>
          <w:p w:rsidR="008E38F6" w:rsidRDefault="008E38F6"/>
        </w:tc>
        <w:tc>
          <w:tcPr>
            <w:tcW w:w="1213" w:type="dxa"/>
          </w:tcPr>
          <w:p w:rsidR="008E38F6" w:rsidRDefault="008E38F6"/>
        </w:tc>
        <w:tc>
          <w:tcPr>
            <w:tcW w:w="955" w:type="dxa"/>
          </w:tcPr>
          <w:p w:rsidR="008E38F6" w:rsidRDefault="008E38F6"/>
        </w:tc>
        <w:tc>
          <w:tcPr>
            <w:tcW w:w="2198" w:type="dxa"/>
          </w:tcPr>
          <w:p w:rsidR="008E38F6" w:rsidRDefault="008E38F6"/>
        </w:tc>
        <w:tc>
          <w:tcPr>
            <w:tcW w:w="1500" w:type="dxa"/>
          </w:tcPr>
          <w:p w:rsidR="008E38F6" w:rsidRDefault="008E38F6"/>
        </w:tc>
        <w:tc>
          <w:tcPr>
            <w:tcW w:w="1038" w:type="dxa"/>
          </w:tcPr>
          <w:p w:rsidR="008E38F6" w:rsidRDefault="008E38F6"/>
        </w:tc>
        <w:tc>
          <w:tcPr>
            <w:tcW w:w="995" w:type="dxa"/>
          </w:tcPr>
          <w:p w:rsidR="008E38F6" w:rsidRDefault="008E38F6"/>
        </w:tc>
      </w:tr>
      <w:tr w:rsidR="008E38F6">
        <w:trPr>
          <w:trHeight w:val="570"/>
          <w:jc w:val="center"/>
        </w:trPr>
        <w:tc>
          <w:tcPr>
            <w:tcW w:w="623" w:type="dxa"/>
          </w:tcPr>
          <w:p w:rsidR="008E38F6" w:rsidRDefault="008E38F6"/>
        </w:tc>
        <w:tc>
          <w:tcPr>
            <w:tcW w:w="1213" w:type="dxa"/>
          </w:tcPr>
          <w:p w:rsidR="008E38F6" w:rsidRDefault="008E38F6"/>
        </w:tc>
        <w:tc>
          <w:tcPr>
            <w:tcW w:w="955" w:type="dxa"/>
          </w:tcPr>
          <w:p w:rsidR="008E38F6" w:rsidRDefault="008E38F6"/>
        </w:tc>
        <w:tc>
          <w:tcPr>
            <w:tcW w:w="2198" w:type="dxa"/>
          </w:tcPr>
          <w:p w:rsidR="008E38F6" w:rsidRDefault="008E38F6"/>
        </w:tc>
        <w:tc>
          <w:tcPr>
            <w:tcW w:w="1500" w:type="dxa"/>
          </w:tcPr>
          <w:p w:rsidR="008E38F6" w:rsidRDefault="008E38F6"/>
        </w:tc>
        <w:tc>
          <w:tcPr>
            <w:tcW w:w="1038" w:type="dxa"/>
          </w:tcPr>
          <w:p w:rsidR="008E38F6" w:rsidRDefault="008E38F6"/>
        </w:tc>
        <w:tc>
          <w:tcPr>
            <w:tcW w:w="995" w:type="dxa"/>
          </w:tcPr>
          <w:p w:rsidR="008E38F6" w:rsidRDefault="008E38F6"/>
        </w:tc>
      </w:tr>
      <w:tr w:rsidR="008E38F6">
        <w:trPr>
          <w:trHeight w:val="600"/>
          <w:jc w:val="center"/>
        </w:trPr>
        <w:tc>
          <w:tcPr>
            <w:tcW w:w="623" w:type="dxa"/>
          </w:tcPr>
          <w:p w:rsidR="008E38F6" w:rsidRDefault="008E38F6"/>
        </w:tc>
        <w:tc>
          <w:tcPr>
            <w:tcW w:w="1213" w:type="dxa"/>
          </w:tcPr>
          <w:p w:rsidR="008E38F6" w:rsidRDefault="008E38F6"/>
        </w:tc>
        <w:tc>
          <w:tcPr>
            <w:tcW w:w="955" w:type="dxa"/>
          </w:tcPr>
          <w:p w:rsidR="008E38F6" w:rsidRDefault="008E38F6"/>
        </w:tc>
        <w:tc>
          <w:tcPr>
            <w:tcW w:w="2198" w:type="dxa"/>
          </w:tcPr>
          <w:p w:rsidR="008E38F6" w:rsidRDefault="008E38F6"/>
        </w:tc>
        <w:tc>
          <w:tcPr>
            <w:tcW w:w="1500" w:type="dxa"/>
          </w:tcPr>
          <w:p w:rsidR="008E38F6" w:rsidRDefault="008E38F6"/>
        </w:tc>
        <w:tc>
          <w:tcPr>
            <w:tcW w:w="1038" w:type="dxa"/>
          </w:tcPr>
          <w:p w:rsidR="008E38F6" w:rsidRDefault="008E38F6"/>
        </w:tc>
        <w:tc>
          <w:tcPr>
            <w:tcW w:w="995" w:type="dxa"/>
          </w:tcPr>
          <w:p w:rsidR="008E38F6" w:rsidRDefault="008E38F6"/>
        </w:tc>
      </w:tr>
      <w:tr w:rsidR="008E38F6">
        <w:trPr>
          <w:trHeight w:val="570"/>
          <w:jc w:val="center"/>
        </w:trPr>
        <w:tc>
          <w:tcPr>
            <w:tcW w:w="623" w:type="dxa"/>
          </w:tcPr>
          <w:p w:rsidR="008E38F6" w:rsidRDefault="008E38F6"/>
        </w:tc>
        <w:tc>
          <w:tcPr>
            <w:tcW w:w="1213" w:type="dxa"/>
          </w:tcPr>
          <w:p w:rsidR="008E38F6" w:rsidRDefault="008E38F6"/>
        </w:tc>
        <w:tc>
          <w:tcPr>
            <w:tcW w:w="955" w:type="dxa"/>
          </w:tcPr>
          <w:p w:rsidR="008E38F6" w:rsidRDefault="008E38F6"/>
        </w:tc>
        <w:tc>
          <w:tcPr>
            <w:tcW w:w="2198" w:type="dxa"/>
          </w:tcPr>
          <w:p w:rsidR="008E38F6" w:rsidRDefault="008E38F6"/>
        </w:tc>
        <w:tc>
          <w:tcPr>
            <w:tcW w:w="1500" w:type="dxa"/>
          </w:tcPr>
          <w:p w:rsidR="008E38F6" w:rsidRDefault="008E38F6"/>
        </w:tc>
        <w:tc>
          <w:tcPr>
            <w:tcW w:w="1038" w:type="dxa"/>
          </w:tcPr>
          <w:p w:rsidR="008E38F6" w:rsidRDefault="008E38F6"/>
        </w:tc>
        <w:tc>
          <w:tcPr>
            <w:tcW w:w="995" w:type="dxa"/>
          </w:tcPr>
          <w:p w:rsidR="008E38F6" w:rsidRDefault="008E38F6"/>
        </w:tc>
      </w:tr>
      <w:tr w:rsidR="008E38F6">
        <w:trPr>
          <w:trHeight w:val="570"/>
          <w:jc w:val="center"/>
        </w:trPr>
        <w:tc>
          <w:tcPr>
            <w:tcW w:w="623" w:type="dxa"/>
          </w:tcPr>
          <w:p w:rsidR="008E38F6" w:rsidRDefault="008E38F6"/>
        </w:tc>
        <w:tc>
          <w:tcPr>
            <w:tcW w:w="1213" w:type="dxa"/>
          </w:tcPr>
          <w:p w:rsidR="008E38F6" w:rsidRDefault="008E38F6"/>
        </w:tc>
        <w:tc>
          <w:tcPr>
            <w:tcW w:w="955" w:type="dxa"/>
          </w:tcPr>
          <w:p w:rsidR="008E38F6" w:rsidRDefault="008E38F6"/>
        </w:tc>
        <w:tc>
          <w:tcPr>
            <w:tcW w:w="2198" w:type="dxa"/>
          </w:tcPr>
          <w:p w:rsidR="008E38F6" w:rsidRDefault="008E38F6"/>
        </w:tc>
        <w:tc>
          <w:tcPr>
            <w:tcW w:w="1500" w:type="dxa"/>
          </w:tcPr>
          <w:p w:rsidR="008E38F6" w:rsidRDefault="008E38F6"/>
        </w:tc>
        <w:tc>
          <w:tcPr>
            <w:tcW w:w="1038" w:type="dxa"/>
          </w:tcPr>
          <w:p w:rsidR="008E38F6" w:rsidRDefault="008E38F6"/>
        </w:tc>
        <w:tc>
          <w:tcPr>
            <w:tcW w:w="995" w:type="dxa"/>
          </w:tcPr>
          <w:p w:rsidR="008E38F6" w:rsidRDefault="008E38F6"/>
        </w:tc>
      </w:tr>
      <w:tr w:rsidR="008E38F6">
        <w:trPr>
          <w:trHeight w:val="570"/>
          <w:jc w:val="center"/>
        </w:trPr>
        <w:tc>
          <w:tcPr>
            <w:tcW w:w="623" w:type="dxa"/>
          </w:tcPr>
          <w:p w:rsidR="008E38F6" w:rsidRDefault="008E38F6"/>
        </w:tc>
        <w:tc>
          <w:tcPr>
            <w:tcW w:w="1213" w:type="dxa"/>
          </w:tcPr>
          <w:p w:rsidR="008E38F6" w:rsidRDefault="008E38F6"/>
        </w:tc>
        <w:tc>
          <w:tcPr>
            <w:tcW w:w="955" w:type="dxa"/>
          </w:tcPr>
          <w:p w:rsidR="008E38F6" w:rsidRDefault="008E38F6"/>
        </w:tc>
        <w:tc>
          <w:tcPr>
            <w:tcW w:w="2198" w:type="dxa"/>
          </w:tcPr>
          <w:p w:rsidR="008E38F6" w:rsidRDefault="008E38F6"/>
        </w:tc>
        <w:tc>
          <w:tcPr>
            <w:tcW w:w="1500" w:type="dxa"/>
          </w:tcPr>
          <w:p w:rsidR="008E38F6" w:rsidRDefault="008E38F6"/>
        </w:tc>
        <w:tc>
          <w:tcPr>
            <w:tcW w:w="1038" w:type="dxa"/>
          </w:tcPr>
          <w:p w:rsidR="008E38F6" w:rsidRDefault="008E38F6"/>
        </w:tc>
        <w:tc>
          <w:tcPr>
            <w:tcW w:w="995" w:type="dxa"/>
          </w:tcPr>
          <w:p w:rsidR="008E38F6" w:rsidRDefault="008E38F6"/>
        </w:tc>
      </w:tr>
      <w:tr w:rsidR="008E38F6">
        <w:trPr>
          <w:trHeight w:val="570"/>
          <w:jc w:val="center"/>
        </w:trPr>
        <w:tc>
          <w:tcPr>
            <w:tcW w:w="623" w:type="dxa"/>
          </w:tcPr>
          <w:p w:rsidR="008E38F6" w:rsidRDefault="008E38F6"/>
        </w:tc>
        <w:tc>
          <w:tcPr>
            <w:tcW w:w="1213" w:type="dxa"/>
          </w:tcPr>
          <w:p w:rsidR="008E38F6" w:rsidRDefault="008E38F6"/>
        </w:tc>
        <w:tc>
          <w:tcPr>
            <w:tcW w:w="955" w:type="dxa"/>
          </w:tcPr>
          <w:p w:rsidR="008E38F6" w:rsidRDefault="008E38F6"/>
        </w:tc>
        <w:tc>
          <w:tcPr>
            <w:tcW w:w="2198" w:type="dxa"/>
          </w:tcPr>
          <w:p w:rsidR="008E38F6" w:rsidRDefault="008E38F6"/>
        </w:tc>
        <w:tc>
          <w:tcPr>
            <w:tcW w:w="1500" w:type="dxa"/>
          </w:tcPr>
          <w:p w:rsidR="008E38F6" w:rsidRDefault="008E38F6"/>
        </w:tc>
        <w:tc>
          <w:tcPr>
            <w:tcW w:w="1038" w:type="dxa"/>
          </w:tcPr>
          <w:p w:rsidR="008E38F6" w:rsidRDefault="008E38F6"/>
        </w:tc>
        <w:tc>
          <w:tcPr>
            <w:tcW w:w="995" w:type="dxa"/>
          </w:tcPr>
          <w:p w:rsidR="008E38F6" w:rsidRDefault="008E38F6"/>
        </w:tc>
      </w:tr>
      <w:tr w:rsidR="008E38F6">
        <w:trPr>
          <w:trHeight w:val="570"/>
          <w:jc w:val="center"/>
        </w:trPr>
        <w:tc>
          <w:tcPr>
            <w:tcW w:w="623" w:type="dxa"/>
          </w:tcPr>
          <w:p w:rsidR="008E38F6" w:rsidRDefault="008E38F6"/>
        </w:tc>
        <w:tc>
          <w:tcPr>
            <w:tcW w:w="1213" w:type="dxa"/>
          </w:tcPr>
          <w:p w:rsidR="008E38F6" w:rsidRDefault="008E38F6"/>
        </w:tc>
        <w:tc>
          <w:tcPr>
            <w:tcW w:w="955" w:type="dxa"/>
          </w:tcPr>
          <w:p w:rsidR="008E38F6" w:rsidRDefault="008E38F6"/>
        </w:tc>
        <w:tc>
          <w:tcPr>
            <w:tcW w:w="2198" w:type="dxa"/>
          </w:tcPr>
          <w:p w:rsidR="008E38F6" w:rsidRDefault="008E38F6"/>
        </w:tc>
        <w:tc>
          <w:tcPr>
            <w:tcW w:w="1500" w:type="dxa"/>
          </w:tcPr>
          <w:p w:rsidR="008E38F6" w:rsidRDefault="008E38F6"/>
        </w:tc>
        <w:tc>
          <w:tcPr>
            <w:tcW w:w="1038" w:type="dxa"/>
          </w:tcPr>
          <w:p w:rsidR="008E38F6" w:rsidRDefault="008E38F6"/>
        </w:tc>
        <w:tc>
          <w:tcPr>
            <w:tcW w:w="995" w:type="dxa"/>
          </w:tcPr>
          <w:p w:rsidR="008E38F6" w:rsidRDefault="008E38F6"/>
        </w:tc>
      </w:tr>
      <w:tr w:rsidR="008E38F6">
        <w:trPr>
          <w:trHeight w:val="570"/>
          <w:jc w:val="center"/>
        </w:trPr>
        <w:tc>
          <w:tcPr>
            <w:tcW w:w="623" w:type="dxa"/>
          </w:tcPr>
          <w:p w:rsidR="008E38F6" w:rsidRDefault="008E38F6"/>
        </w:tc>
        <w:tc>
          <w:tcPr>
            <w:tcW w:w="1213" w:type="dxa"/>
          </w:tcPr>
          <w:p w:rsidR="008E38F6" w:rsidRDefault="008E38F6"/>
        </w:tc>
        <w:tc>
          <w:tcPr>
            <w:tcW w:w="955" w:type="dxa"/>
          </w:tcPr>
          <w:p w:rsidR="008E38F6" w:rsidRDefault="008E38F6"/>
        </w:tc>
        <w:tc>
          <w:tcPr>
            <w:tcW w:w="2198" w:type="dxa"/>
          </w:tcPr>
          <w:p w:rsidR="008E38F6" w:rsidRDefault="008E38F6"/>
        </w:tc>
        <w:tc>
          <w:tcPr>
            <w:tcW w:w="1500" w:type="dxa"/>
          </w:tcPr>
          <w:p w:rsidR="008E38F6" w:rsidRDefault="008E38F6"/>
        </w:tc>
        <w:tc>
          <w:tcPr>
            <w:tcW w:w="1038" w:type="dxa"/>
          </w:tcPr>
          <w:p w:rsidR="008E38F6" w:rsidRDefault="008E38F6"/>
        </w:tc>
        <w:tc>
          <w:tcPr>
            <w:tcW w:w="995" w:type="dxa"/>
          </w:tcPr>
          <w:p w:rsidR="008E38F6" w:rsidRDefault="008E38F6"/>
        </w:tc>
      </w:tr>
      <w:tr w:rsidR="008E38F6">
        <w:trPr>
          <w:trHeight w:val="570"/>
          <w:jc w:val="center"/>
        </w:trPr>
        <w:tc>
          <w:tcPr>
            <w:tcW w:w="623" w:type="dxa"/>
          </w:tcPr>
          <w:p w:rsidR="008E38F6" w:rsidRDefault="008E38F6"/>
        </w:tc>
        <w:tc>
          <w:tcPr>
            <w:tcW w:w="1213" w:type="dxa"/>
          </w:tcPr>
          <w:p w:rsidR="008E38F6" w:rsidRDefault="008E38F6"/>
        </w:tc>
        <w:tc>
          <w:tcPr>
            <w:tcW w:w="955" w:type="dxa"/>
          </w:tcPr>
          <w:p w:rsidR="008E38F6" w:rsidRDefault="008E38F6"/>
        </w:tc>
        <w:tc>
          <w:tcPr>
            <w:tcW w:w="2198" w:type="dxa"/>
          </w:tcPr>
          <w:p w:rsidR="008E38F6" w:rsidRDefault="008E38F6"/>
        </w:tc>
        <w:tc>
          <w:tcPr>
            <w:tcW w:w="1500" w:type="dxa"/>
          </w:tcPr>
          <w:p w:rsidR="008E38F6" w:rsidRDefault="008E38F6"/>
        </w:tc>
        <w:tc>
          <w:tcPr>
            <w:tcW w:w="1038" w:type="dxa"/>
          </w:tcPr>
          <w:p w:rsidR="008E38F6" w:rsidRDefault="008E38F6"/>
        </w:tc>
        <w:tc>
          <w:tcPr>
            <w:tcW w:w="995" w:type="dxa"/>
          </w:tcPr>
          <w:p w:rsidR="008E38F6" w:rsidRDefault="008E38F6"/>
        </w:tc>
      </w:tr>
      <w:tr w:rsidR="008E38F6">
        <w:trPr>
          <w:trHeight w:val="570"/>
          <w:jc w:val="center"/>
        </w:trPr>
        <w:tc>
          <w:tcPr>
            <w:tcW w:w="623" w:type="dxa"/>
          </w:tcPr>
          <w:p w:rsidR="008E38F6" w:rsidRDefault="008E38F6"/>
        </w:tc>
        <w:tc>
          <w:tcPr>
            <w:tcW w:w="1213" w:type="dxa"/>
          </w:tcPr>
          <w:p w:rsidR="008E38F6" w:rsidRDefault="008E38F6"/>
        </w:tc>
        <w:tc>
          <w:tcPr>
            <w:tcW w:w="955" w:type="dxa"/>
          </w:tcPr>
          <w:p w:rsidR="008E38F6" w:rsidRDefault="008E38F6"/>
        </w:tc>
        <w:tc>
          <w:tcPr>
            <w:tcW w:w="2198" w:type="dxa"/>
          </w:tcPr>
          <w:p w:rsidR="008E38F6" w:rsidRDefault="008E38F6"/>
        </w:tc>
        <w:tc>
          <w:tcPr>
            <w:tcW w:w="1500" w:type="dxa"/>
          </w:tcPr>
          <w:p w:rsidR="008E38F6" w:rsidRDefault="008E38F6"/>
        </w:tc>
        <w:tc>
          <w:tcPr>
            <w:tcW w:w="1038" w:type="dxa"/>
          </w:tcPr>
          <w:p w:rsidR="008E38F6" w:rsidRDefault="008E38F6"/>
        </w:tc>
        <w:tc>
          <w:tcPr>
            <w:tcW w:w="995" w:type="dxa"/>
          </w:tcPr>
          <w:p w:rsidR="008E38F6" w:rsidRDefault="008E38F6"/>
        </w:tc>
      </w:tr>
      <w:tr w:rsidR="008E38F6">
        <w:trPr>
          <w:trHeight w:val="570"/>
          <w:jc w:val="center"/>
        </w:trPr>
        <w:tc>
          <w:tcPr>
            <w:tcW w:w="623" w:type="dxa"/>
          </w:tcPr>
          <w:p w:rsidR="008E38F6" w:rsidRDefault="008E38F6"/>
        </w:tc>
        <w:tc>
          <w:tcPr>
            <w:tcW w:w="1213" w:type="dxa"/>
          </w:tcPr>
          <w:p w:rsidR="008E38F6" w:rsidRDefault="008E38F6"/>
        </w:tc>
        <w:tc>
          <w:tcPr>
            <w:tcW w:w="955" w:type="dxa"/>
          </w:tcPr>
          <w:p w:rsidR="008E38F6" w:rsidRDefault="008E38F6"/>
        </w:tc>
        <w:tc>
          <w:tcPr>
            <w:tcW w:w="2198" w:type="dxa"/>
          </w:tcPr>
          <w:p w:rsidR="008E38F6" w:rsidRDefault="008E38F6"/>
        </w:tc>
        <w:tc>
          <w:tcPr>
            <w:tcW w:w="1500" w:type="dxa"/>
          </w:tcPr>
          <w:p w:rsidR="008E38F6" w:rsidRDefault="008E38F6"/>
        </w:tc>
        <w:tc>
          <w:tcPr>
            <w:tcW w:w="1038" w:type="dxa"/>
          </w:tcPr>
          <w:p w:rsidR="008E38F6" w:rsidRDefault="008E38F6"/>
        </w:tc>
        <w:tc>
          <w:tcPr>
            <w:tcW w:w="995" w:type="dxa"/>
          </w:tcPr>
          <w:p w:rsidR="008E38F6" w:rsidRDefault="008E38F6"/>
        </w:tc>
      </w:tr>
    </w:tbl>
    <w:p w:rsidR="008E38F6" w:rsidRDefault="008E38F6">
      <w:pPr>
        <w:pStyle w:val="a4"/>
        <w:widowControl/>
        <w:spacing w:before="0" w:beforeAutospacing="0" w:after="0" w:afterAutospacing="0" w:line="560" w:lineRule="exact"/>
        <w:rPr>
          <w:rFonts w:ascii="方正小标宋简体" w:eastAsia="方正小标宋简体" w:hAnsi="仿宋_GB2312" w:cs="仿宋_GB2312"/>
          <w:color w:val="000000"/>
          <w:sz w:val="44"/>
          <w:szCs w:val="44"/>
          <w:lang w:bidi="ar"/>
        </w:rPr>
      </w:pPr>
    </w:p>
    <w:p w:rsidR="008E38F6" w:rsidRDefault="008E38F6"/>
    <w:p w:rsidR="008E38F6" w:rsidRDefault="008E38F6">
      <w:pPr>
        <w:pStyle w:val="a4"/>
        <w:widowControl/>
        <w:spacing w:before="0" w:beforeAutospacing="0" w:after="0" w:afterAutospacing="0" w:line="560" w:lineRule="exact"/>
        <w:rPr>
          <w:rFonts w:ascii="方正小标宋简体" w:eastAsia="方正小标宋简体" w:hAnsi="黑体" w:cs="黑体"/>
          <w:color w:val="000000"/>
          <w:sz w:val="44"/>
          <w:szCs w:val="44"/>
        </w:rPr>
        <w:sectPr w:rsidR="008E38F6">
          <w:pgSz w:w="11906" w:h="16838"/>
          <w:pgMar w:top="2098" w:right="1474" w:bottom="1417" w:left="1587" w:header="851" w:footer="992" w:gutter="0"/>
          <w:cols w:space="720"/>
          <w:docGrid w:type="lines" w:linePitch="312"/>
        </w:sectPr>
      </w:pPr>
    </w:p>
    <w:p w:rsidR="008E38F6" w:rsidRDefault="005D6403">
      <w:pPr>
        <w:pStyle w:val="a4"/>
        <w:widowControl/>
        <w:spacing w:before="0" w:beforeAutospacing="0" w:after="0" w:afterAutospacing="0" w:line="56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1-2</w:t>
      </w:r>
    </w:p>
    <w:p w:rsidR="008E38F6" w:rsidRDefault="008E38F6">
      <w:pPr>
        <w:spacing w:line="560" w:lineRule="exact"/>
        <w:rPr>
          <w:rFonts w:ascii="方正小标宋简体" w:eastAsia="方正小标宋简体" w:hAnsi="黑体" w:cs="黑体"/>
          <w:color w:val="000000"/>
          <w:kern w:val="0"/>
          <w:sz w:val="44"/>
          <w:szCs w:val="44"/>
        </w:rPr>
      </w:pPr>
    </w:p>
    <w:p w:rsidR="008E38F6" w:rsidRDefault="005D6403">
      <w:pPr>
        <w:spacing w:line="560" w:lineRule="exact"/>
        <w:jc w:val="center"/>
        <w:rPr>
          <w:rFonts w:ascii="方正小标宋简体" w:eastAsia="方正小标宋简体" w:hAnsi="Times New Roman"/>
          <w:color w:val="000000"/>
          <w:sz w:val="44"/>
          <w:szCs w:val="44"/>
          <w:lang w:bidi="ar"/>
        </w:rPr>
      </w:pPr>
      <w:r>
        <w:rPr>
          <w:rFonts w:ascii="方正小标宋简体" w:eastAsia="方正小标宋简体" w:hAnsi="Times New Roman" w:hint="eastAsia"/>
          <w:color w:val="000000"/>
          <w:sz w:val="44"/>
          <w:szCs w:val="44"/>
          <w:lang w:bidi="ar"/>
        </w:rPr>
        <w:t>工作安排</w:t>
      </w:r>
    </w:p>
    <w:p w:rsidR="008E38F6" w:rsidRDefault="008E38F6">
      <w:pPr>
        <w:spacing w:line="560" w:lineRule="exact"/>
        <w:ind w:firstLineChars="200" w:firstLine="643"/>
        <w:rPr>
          <w:rFonts w:ascii="Times New Roman" w:eastAsia="楷体_GB2312" w:hAnsi="Times New Roman"/>
          <w:b/>
          <w:color w:val="000000"/>
          <w:sz w:val="32"/>
          <w:szCs w:val="32"/>
          <w:lang w:bidi="ar"/>
        </w:rPr>
      </w:pPr>
    </w:p>
    <w:p w:rsidR="008E38F6" w:rsidRDefault="005D6403">
      <w:pPr>
        <w:spacing w:line="560" w:lineRule="exact"/>
        <w:ind w:firstLineChars="200" w:firstLine="640"/>
        <w:rPr>
          <w:rFonts w:ascii="黑体" w:eastAsia="黑体" w:hAnsi="黑体"/>
          <w:color w:val="000000"/>
          <w:sz w:val="32"/>
          <w:szCs w:val="32"/>
          <w:lang w:bidi="ar"/>
        </w:rPr>
      </w:pPr>
      <w:r>
        <w:rPr>
          <w:rFonts w:ascii="黑体" w:eastAsia="黑体" w:hAnsi="黑体" w:hint="eastAsia"/>
          <w:color w:val="000000"/>
          <w:sz w:val="32"/>
          <w:szCs w:val="32"/>
          <w:lang w:bidi="ar"/>
        </w:rPr>
        <w:t>一、</w:t>
      </w:r>
      <w:r>
        <w:rPr>
          <w:rFonts w:ascii="黑体" w:eastAsia="黑体" w:hAnsi="黑体"/>
          <w:color w:val="000000"/>
          <w:sz w:val="32"/>
          <w:szCs w:val="32"/>
          <w:lang w:bidi="ar"/>
        </w:rPr>
        <w:t>制定实施办法</w:t>
      </w:r>
    </w:p>
    <w:p w:rsidR="008E38F6" w:rsidRDefault="005D6403">
      <w:pPr>
        <w:spacing w:line="560" w:lineRule="exact"/>
        <w:ind w:firstLineChars="200" w:firstLine="640"/>
        <w:rPr>
          <w:rFonts w:ascii="Times New Roman" w:eastAsia="仿宋_GB2312" w:hAnsi="Times New Roman"/>
          <w:color w:val="000000"/>
          <w:sz w:val="32"/>
          <w:szCs w:val="32"/>
          <w:lang w:bidi="ar"/>
        </w:rPr>
      </w:pPr>
      <w:r>
        <w:rPr>
          <w:rFonts w:ascii="Times New Roman" w:eastAsia="仿宋_GB2312" w:hAnsi="Times New Roman"/>
          <w:color w:val="000000"/>
          <w:sz w:val="32"/>
          <w:szCs w:val="32"/>
          <w:lang w:bidi="ar"/>
        </w:rPr>
        <w:t>科技主管部门于</w:t>
      </w:r>
      <w:r>
        <w:rPr>
          <w:rFonts w:ascii="Times New Roman" w:eastAsia="仿宋_GB2312" w:hAnsi="Times New Roman"/>
          <w:color w:val="000000"/>
          <w:sz w:val="32"/>
          <w:szCs w:val="32"/>
          <w:lang w:bidi="ar"/>
        </w:rPr>
        <w:t>2021</w:t>
      </w:r>
      <w:r>
        <w:rPr>
          <w:rFonts w:ascii="Times New Roman" w:eastAsia="仿宋_GB2312" w:hAnsi="Times New Roman"/>
          <w:color w:val="000000"/>
          <w:sz w:val="32"/>
          <w:szCs w:val="32"/>
          <w:lang w:bidi="ar"/>
        </w:rPr>
        <w:t>年</w:t>
      </w:r>
      <w:r>
        <w:rPr>
          <w:rFonts w:ascii="Times New Roman" w:eastAsia="仿宋_GB2312" w:hAnsi="Times New Roman"/>
          <w:color w:val="000000"/>
          <w:sz w:val="32"/>
          <w:szCs w:val="32"/>
          <w:lang w:bidi="ar"/>
        </w:rPr>
        <w:t>6</w:t>
      </w:r>
      <w:r>
        <w:rPr>
          <w:rFonts w:ascii="Times New Roman" w:eastAsia="仿宋_GB2312" w:hAnsi="Times New Roman"/>
          <w:color w:val="000000"/>
          <w:sz w:val="32"/>
          <w:szCs w:val="32"/>
          <w:lang w:bidi="ar"/>
        </w:rPr>
        <w:t>月</w:t>
      </w:r>
      <w:r>
        <w:rPr>
          <w:rFonts w:ascii="Times New Roman" w:eastAsia="仿宋_GB2312" w:hAnsi="Times New Roman"/>
          <w:color w:val="000000"/>
          <w:sz w:val="32"/>
          <w:szCs w:val="32"/>
          <w:lang w:bidi="ar"/>
        </w:rPr>
        <w:t>30</w:t>
      </w:r>
      <w:r>
        <w:rPr>
          <w:rFonts w:ascii="Times New Roman" w:eastAsia="仿宋_GB2312" w:hAnsi="Times New Roman"/>
          <w:color w:val="000000"/>
          <w:sz w:val="32"/>
          <w:szCs w:val="32"/>
          <w:lang w:bidi="ar"/>
        </w:rPr>
        <w:t>日前参照《通知》，牵头起草相关实施办法，经征求各有关单位意见建议并修改完善后，按程序报批印发。</w:t>
      </w:r>
    </w:p>
    <w:p w:rsidR="008E38F6" w:rsidRDefault="005D6403">
      <w:pPr>
        <w:pStyle w:val="a4"/>
        <w:spacing w:before="0" w:beforeAutospacing="0" w:after="0" w:afterAutospacing="0" w:line="560" w:lineRule="exact"/>
        <w:ind w:firstLineChars="200" w:firstLine="640"/>
        <w:jc w:val="both"/>
        <w:rPr>
          <w:rFonts w:ascii="黑体" w:eastAsia="黑体" w:hAnsi="黑体"/>
          <w:color w:val="000000"/>
          <w:sz w:val="32"/>
          <w:szCs w:val="32"/>
          <w:lang w:bidi="ar"/>
        </w:rPr>
      </w:pPr>
      <w:r>
        <w:rPr>
          <w:rFonts w:ascii="黑体" w:eastAsia="黑体" w:hAnsi="黑体" w:hint="eastAsia"/>
          <w:color w:val="000000"/>
          <w:sz w:val="32"/>
          <w:szCs w:val="32"/>
          <w:lang w:bidi="ar"/>
        </w:rPr>
        <w:t>二、</w:t>
      </w:r>
      <w:r>
        <w:rPr>
          <w:rFonts w:ascii="黑体" w:eastAsia="黑体" w:hAnsi="黑体"/>
          <w:color w:val="000000"/>
          <w:sz w:val="32"/>
          <w:szCs w:val="32"/>
          <w:lang w:bidi="ar"/>
        </w:rPr>
        <w:t>核定机构名单</w:t>
      </w:r>
    </w:p>
    <w:p w:rsidR="008E38F6" w:rsidRDefault="005D6403">
      <w:pPr>
        <w:pStyle w:val="a4"/>
        <w:spacing w:before="0" w:beforeAutospacing="0" w:after="0" w:afterAutospacing="0" w:line="560" w:lineRule="exact"/>
        <w:ind w:firstLineChars="200" w:firstLine="640"/>
        <w:jc w:val="both"/>
        <w:rPr>
          <w:rFonts w:ascii="Times New Roman" w:eastAsia="仿宋_GB2312" w:hAnsi="Times New Roman"/>
          <w:color w:val="000000"/>
          <w:sz w:val="32"/>
          <w:szCs w:val="32"/>
          <w:lang w:bidi="ar"/>
        </w:rPr>
      </w:pPr>
      <w:r>
        <w:rPr>
          <w:rFonts w:ascii="Times New Roman" w:eastAsia="仿宋_GB2312" w:hAnsi="Times New Roman"/>
          <w:color w:val="000000"/>
          <w:sz w:val="32"/>
          <w:szCs w:val="32"/>
          <w:lang w:bidi="ar"/>
        </w:rPr>
        <w:t>科技主管部门会同各有关单位于</w:t>
      </w:r>
      <w:r>
        <w:rPr>
          <w:rFonts w:ascii="Times New Roman" w:eastAsia="仿宋_GB2312" w:hAnsi="Times New Roman"/>
          <w:color w:val="000000"/>
          <w:sz w:val="32"/>
          <w:szCs w:val="32"/>
          <w:lang w:bidi="ar"/>
        </w:rPr>
        <w:t>2021</w:t>
      </w:r>
      <w:r>
        <w:rPr>
          <w:rFonts w:ascii="Times New Roman" w:eastAsia="仿宋_GB2312" w:hAnsi="Times New Roman"/>
          <w:color w:val="000000"/>
          <w:sz w:val="32"/>
          <w:szCs w:val="32"/>
          <w:lang w:bidi="ar"/>
        </w:rPr>
        <w:t>年</w:t>
      </w:r>
      <w:r>
        <w:rPr>
          <w:rFonts w:ascii="Times New Roman" w:eastAsia="仿宋_GB2312" w:hAnsi="Times New Roman"/>
          <w:color w:val="000000"/>
          <w:sz w:val="32"/>
          <w:szCs w:val="32"/>
          <w:lang w:bidi="ar"/>
        </w:rPr>
        <w:t>7</w:t>
      </w:r>
      <w:r>
        <w:rPr>
          <w:rFonts w:ascii="Times New Roman" w:eastAsia="仿宋_GB2312" w:hAnsi="Times New Roman"/>
          <w:color w:val="000000"/>
          <w:sz w:val="32"/>
          <w:szCs w:val="32"/>
          <w:lang w:bidi="ar"/>
        </w:rPr>
        <w:t>月</w:t>
      </w:r>
      <w:r>
        <w:rPr>
          <w:rFonts w:ascii="Times New Roman" w:eastAsia="仿宋_GB2312" w:hAnsi="Times New Roman"/>
          <w:color w:val="000000"/>
          <w:sz w:val="32"/>
          <w:szCs w:val="32"/>
          <w:lang w:bidi="ar"/>
        </w:rPr>
        <w:t>30</w:t>
      </w:r>
      <w:r>
        <w:rPr>
          <w:rFonts w:ascii="Times New Roman" w:eastAsia="仿宋_GB2312" w:hAnsi="Times New Roman"/>
          <w:color w:val="000000"/>
          <w:sz w:val="32"/>
          <w:szCs w:val="32"/>
          <w:lang w:bidi="ar"/>
        </w:rPr>
        <w:t>日前完成各类研发机构名单核定工作。</w:t>
      </w:r>
    </w:p>
    <w:p w:rsidR="008E38F6" w:rsidRDefault="005D6403">
      <w:pPr>
        <w:pStyle w:val="a4"/>
        <w:spacing w:before="0" w:beforeAutospacing="0" w:after="0" w:afterAutospacing="0" w:line="560" w:lineRule="exact"/>
        <w:ind w:firstLineChars="200" w:firstLine="640"/>
        <w:jc w:val="both"/>
        <w:rPr>
          <w:rFonts w:ascii="黑体" w:eastAsia="黑体" w:hAnsi="黑体"/>
          <w:color w:val="000000"/>
          <w:sz w:val="32"/>
          <w:szCs w:val="32"/>
          <w:lang w:bidi="ar"/>
        </w:rPr>
      </w:pPr>
      <w:r>
        <w:rPr>
          <w:rFonts w:ascii="黑体" w:eastAsia="黑体" w:hAnsi="黑体" w:hint="eastAsia"/>
          <w:color w:val="000000"/>
          <w:sz w:val="32"/>
          <w:szCs w:val="32"/>
          <w:lang w:bidi="ar"/>
        </w:rPr>
        <w:t>三、</w:t>
      </w:r>
      <w:r>
        <w:rPr>
          <w:rFonts w:ascii="黑体" w:eastAsia="黑体" w:hAnsi="黑体"/>
          <w:color w:val="000000"/>
          <w:sz w:val="32"/>
          <w:szCs w:val="32"/>
          <w:lang w:bidi="ar"/>
        </w:rPr>
        <w:t>报送机构名单</w:t>
      </w:r>
    </w:p>
    <w:p w:rsidR="008E38F6" w:rsidRDefault="005D6403">
      <w:pPr>
        <w:pStyle w:val="a4"/>
        <w:widowControl/>
        <w:spacing w:before="0" w:beforeAutospacing="0" w:after="0" w:afterAutospacing="0" w:line="560" w:lineRule="exact"/>
        <w:ind w:firstLineChars="200" w:firstLine="640"/>
        <w:jc w:val="both"/>
        <w:rPr>
          <w:rFonts w:ascii="Times New Roman" w:eastAsia="仿宋_GB2312" w:hAnsi="Times New Roman"/>
          <w:color w:val="000000"/>
          <w:sz w:val="32"/>
          <w:szCs w:val="32"/>
          <w:lang w:bidi="ar"/>
        </w:rPr>
      </w:pPr>
      <w:r>
        <w:rPr>
          <w:rFonts w:ascii="Times New Roman" w:eastAsia="仿宋_GB2312" w:hAnsi="Times New Roman"/>
          <w:color w:val="000000"/>
          <w:sz w:val="32"/>
          <w:szCs w:val="32"/>
          <w:lang w:bidi="ar"/>
        </w:rPr>
        <w:t>科技主管部门于</w:t>
      </w:r>
      <w:r>
        <w:rPr>
          <w:rFonts w:ascii="Times New Roman" w:eastAsia="仿宋_GB2312" w:hAnsi="Times New Roman"/>
          <w:color w:val="000000"/>
          <w:sz w:val="32"/>
          <w:szCs w:val="32"/>
          <w:lang w:bidi="ar"/>
        </w:rPr>
        <w:t>2021</w:t>
      </w:r>
      <w:r>
        <w:rPr>
          <w:rFonts w:ascii="Times New Roman" w:eastAsia="仿宋_GB2312" w:hAnsi="Times New Roman"/>
          <w:color w:val="000000"/>
          <w:sz w:val="32"/>
          <w:szCs w:val="32"/>
          <w:lang w:bidi="ar"/>
        </w:rPr>
        <w:t>年</w:t>
      </w:r>
      <w:r>
        <w:rPr>
          <w:rFonts w:ascii="Times New Roman" w:eastAsia="仿宋_GB2312" w:hAnsi="Times New Roman"/>
          <w:color w:val="000000"/>
          <w:sz w:val="32"/>
          <w:szCs w:val="32"/>
          <w:lang w:bidi="ar"/>
        </w:rPr>
        <w:t>8</w:t>
      </w:r>
      <w:r>
        <w:rPr>
          <w:rFonts w:ascii="Times New Roman" w:eastAsia="仿宋_GB2312" w:hAnsi="Times New Roman"/>
          <w:color w:val="000000"/>
          <w:sz w:val="32"/>
          <w:szCs w:val="32"/>
          <w:lang w:bidi="ar"/>
        </w:rPr>
        <w:t>月</w:t>
      </w:r>
      <w:r>
        <w:rPr>
          <w:rFonts w:ascii="Times New Roman" w:eastAsia="仿宋_GB2312" w:hAnsi="Times New Roman"/>
          <w:color w:val="000000"/>
          <w:sz w:val="32"/>
          <w:szCs w:val="32"/>
          <w:lang w:bidi="ar"/>
        </w:rPr>
        <w:t>30</w:t>
      </w:r>
      <w:r>
        <w:rPr>
          <w:rFonts w:ascii="Times New Roman" w:eastAsia="仿宋_GB2312" w:hAnsi="Times New Roman"/>
          <w:color w:val="000000"/>
          <w:sz w:val="32"/>
          <w:szCs w:val="32"/>
          <w:lang w:bidi="ar"/>
        </w:rPr>
        <w:t>日前函告南宁海关，抄送自治区财政厅、广西税务局等部门，并报送科技部。</w:t>
      </w:r>
    </w:p>
    <w:p w:rsidR="008E38F6" w:rsidRDefault="008E38F6"/>
    <w:p w:rsidR="008E38F6" w:rsidRDefault="008E38F6"/>
    <w:sectPr w:rsidR="008E38F6">
      <w:pgSz w:w="11906" w:h="16838"/>
      <w:pgMar w:top="2098" w:right="1474" w:bottom="1417"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03" w:rsidRDefault="005D6403">
      <w:r>
        <w:separator/>
      </w:r>
    </w:p>
  </w:endnote>
  <w:endnote w:type="continuationSeparator" w:id="0">
    <w:p w:rsidR="005D6403" w:rsidRDefault="005D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F6" w:rsidRDefault="005D6403">
    <w:pPr>
      <w:pStyle w:val="a3"/>
    </w:pPr>
    <w:r>
      <w:rPr>
        <w:noProof/>
      </w:rPr>
      <mc:AlternateContent>
        <mc:Choice Requires="wps">
          <w:drawing>
            <wp:anchor distT="0" distB="0" distL="114300" distR="114300" simplePos="0" relativeHeight="251660288" behindDoc="0" locked="0" layoutInCell="1" allowOverlap="1" wp14:anchorId="6AADA9C2" wp14:editId="23567236">
              <wp:simplePos x="0" y="0"/>
              <wp:positionH relativeFrom="margin">
                <wp:posOffset>9525</wp:posOffset>
              </wp:positionH>
              <wp:positionV relativeFrom="paragraph">
                <wp:posOffset>-123825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38F6" w:rsidRDefault="005D640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0.75pt;margin-top:-9.75pt;height:144pt;width:144pt;mso-position-horizontal-relative:margin;mso-wrap-style:none;z-index:251660288;mso-width-relative:page;mso-height-relative:page;" filled="f" stroked="f" coordsize="21600,21600" o:gfxdata="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rBaXtMAAAAJAQAADwAAAAAAAAABACAAAAAiAAAAZHJzL2Rvd25yZXYu&#10;eG1sUEsBAhQAFAAAAAgAh07iQPQJJ5fHAQAAmQMAAA4AAAAAAAAAAQAgAAAAIgEAAGRycy9lMm9E&#10;b2MueG1sUEsFBgAAAAAGAAYAWQEAAFsFAAAAAA==&#10;">
              <v:path/>
              <v:fill on="f" focussize="0,0"/>
              <v:stroke on="f"/>
              <v:imagedata o:title=""/>
              <o:lock v:ext="edit" aspectratio="f"/>
              <v:textbox inset="0mm,0mm,0mm,0mm" style="mso-fit-shape-to-text:t;">
                <w:txbxContent>
                  <w:p>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F6" w:rsidRDefault="005D6403">
    <w:pPr>
      <w:pStyle w:val="a3"/>
      <w:jc w:val="center"/>
    </w:pPr>
    <w:r>
      <w:rPr>
        <w:noProof/>
      </w:rPr>
      <mc:AlternateContent>
        <mc:Choice Requires="wps">
          <w:drawing>
            <wp:anchor distT="0" distB="0" distL="114300" distR="114300" simplePos="0" relativeHeight="251659264" behindDoc="0" locked="0" layoutInCell="1" allowOverlap="1" wp14:anchorId="46684953" wp14:editId="29D1C879">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38F6" w:rsidRDefault="005D640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81BF0">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jrQEAAEY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qTP/&#10;HfRHkjXS/DseaEE5c28DtbesysVIF2M3G6UUxlcPmepXWgX8DDXXpGFVYfNilW14+q5Zj+u//QU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5K3I60BAABGAwAADgAAAAAAAAAAAAAAAAAuAgAAZHJzL2Uyb0RvYy54bWxQSwECLQAUAAYA&#10;CAAAACEADErw7tYAAAAFAQAADwAAAAAAAAAAAAAAAAAHBAAAZHJzL2Rvd25yZXYueG1sUEsFBgAA&#10;AAAEAAQA8wAAAAoFAAAAAA==&#10;" filled="f" stroked="f">
              <v:textbox style="mso-fit-shape-to-text:t" inset="0,0,0,0">
                <w:txbxContent>
                  <w:p w:rsidR="008E38F6" w:rsidRDefault="005D640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81BF0">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p w:rsidR="008E38F6" w:rsidRDefault="008E38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03" w:rsidRDefault="005D6403">
      <w:r>
        <w:separator/>
      </w:r>
    </w:p>
  </w:footnote>
  <w:footnote w:type="continuationSeparator" w:id="0">
    <w:p w:rsidR="005D6403" w:rsidRDefault="005D6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F6"/>
    <w:rsid w:val="00581BF0"/>
    <w:rsid w:val="005D6403"/>
    <w:rsid w:val="008E38F6"/>
    <w:rsid w:val="6E35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Normal (Web)"/>
    <w:basedOn w:val="a"/>
    <w:pPr>
      <w:spacing w:before="100" w:beforeAutospacing="1" w:after="100" w:afterAutospacing="1"/>
      <w:jc w:val="left"/>
    </w:pPr>
    <w:rPr>
      <w:kern w:val="0"/>
      <w:sz w:val="24"/>
    </w:rPr>
  </w:style>
  <w:style w:type="character" w:styleId="a5">
    <w:name w:val="FollowedHyperlink"/>
    <w:basedOn w:val="a0"/>
    <w:rPr>
      <w:rFonts w:ascii="Verdana" w:hAnsi="Verdana" w:cs="Verdana" w:hint="default"/>
      <w:color w:val="000000"/>
      <w:sz w:val="21"/>
      <w:szCs w:val="21"/>
      <w:u w:val="none"/>
    </w:rPr>
  </w:style>
  <w:style w:type="character" w:styleId="a6">
    <w:name w:val="Hyperlink"/>
    <w:basedOn w:val="a0"/>
    <w:rPr>
      <w:rFonts w:ascii="Verdana" w:hAnsi="Verdana" w:cs="Verdana"/>
      <w:color w:val="000000"/>
      <w:sz w:val="21"/>
      <w:szCs w:val="21"/>
      <w:u w:val="none"/>
    </w:rPr>
  </w:style>
  <w:style w:type="character" w:customStyle="1" w:styleId="first-child">
    <w:name w:val="first-child"/>
    <w:basedOn w:val="a0"/>
    <w:rPr>
      <w:bdr w:val="none" w:sz="0" w:space="0" w:color="auto"/>
    </w:rPr>
  </w:style>
  <w:style w:type="character" w:customStyle="1" w:styleId="hover">
    <w:name w:val="hover"/>
    <w:basedOn w:val="a0"/>
    <w:rPr>
      <w:color w:val="5FB878"/>
    </w:rPr>
  </w:style>
  <w:style w:type="character" w:customStyle="1" w:styleId="hover1">
    <w:name w:val="hover1"/>
    <w:basedOn w:val="a0"/>
    <w:rPr>
      <w:color w:val="5FB878"/>
    </w:rPr>
  </w:style>
  <w:style w:type="character" w:customStyle="1" w:styleId="hover2">
    <w:name w:val="hover2"/>
    <w:basedOn w:val="a0"/>
    <w:rPr>
      <w:color w:val="FFFFFF"/>
    </w:rPr>
  </w:style>
  <w:style w:type="character" w:customStyle="1" w:styleId="layui-laypage-curr">
    <w:name w:val="layui-laypage-curr"/>
    <w:basedOn w:val="a0"/>
    <w:rPr>
      <w:bdr w:val="none" w:sz="0" w:space="0" w:color="auto"/>
    </w:rPr>
  </w:style>
  <w:style w:type="character" w:customStyle="1" w:styleId="layui-this4">
    <w:name w:val="layui-this4"/>
    <w:basedOn w:val="a0"/>
    <w:rPr>
      <w:bdr w:val="single" w:sz="6" w:space="0" w:color="EEEEE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Normal (Web)"/>
    <w:basedOn w:val="a"/>
    <w:pPr>
      <w:spacing w:before="100" w:beforeAutospacing="1" w:after="100" w:afterAutospacing="1"/>
      <w:jc w:val="left"/>
    </w:pPr>
    <w:rPr>
      <w:kern w:val="0"/>
      <w:sz w:val="24"/>
    </w:rPr>
  </w:style>
  <w:style w:type="character" w:styleId="a5">
    <w:name w:val="FollowedHyperlink"/>
    <w:basedOn w:val="a0"/>
    <w:rPr>
      <w:rFonts w:ascii="Verdana" w:hAnsi="Verdana" w:cs="Verdana" w:hint="default"/>
      <w:color w:val="000000"/>
      <w:sz w:val="21"/>
      <w:szCs w:val="21"/>
      <w:u w:val="none"/>
    </w:rPr>
  </w:style>
  <w:style w:type="character" w:styleId="a6">
    <w:name w:val="Hyperlink"/>
    <w:basedOn w:val="a0"/>
    <w:rPr>
      <w:rFonts w:ascii="Verdana" w:hAnsi="Verdana" w:cs="Verdana"/>
      <w:color w:val="000000"/>
      <w:sz w:val="21"/>
      <w:szCs w:val="21"/>
      <w:u w:val="none"/>
    </w:rPr>
  </w:style>
  <w:style w:type="character" w:customStyle="1" w:styleId="first-child">
    <w:name w:val="first-child"/>
    <w:basedOn w:val="a0"/>
    <w:rPr>
      <w:bdr w:val="none" w:sz="0" w:space="0" w:color="auto"/>
    </w:rPr>
  </w:style>
  <w:style w:type="character" w:customStyle="1" w:styleId="hover">
    <w:name w:val="hover"/>
    <w:basedOn w:val="a0"/>
    <w:rPr>
      <w:color w:val="5FB878"/>
    </w:rPr>
  </w:style>
  <w:style w:type="character" w:customStyle="1" w:styleId="hover1">
    <w:name w:val="hover1"/>
    <w:basedOn w:val="a0"/>
    <w:rPr>
      <w:color w:val="5FB878"/>
    </w:rPr>
  </w:style>
  <w:style w:type="character" w:customStyle="1" w:styleId="hover2">
    <w:name w:val="hover2"/>
    <w:basedOn w:val="a0"/>
    <w:rPr>
      <w:color w:val="FFFFFF"/>
    </w:rPr>
  </w:style>
  <w:style w:type="character" w:customStyle="1" w:styleId="layui-laypage-curr">
    <w:name w:val="layui-laypage-curr"/>
    <w:basedOn w:val="a0"/>
    <w:rPr>
      <w:bdr w:val="none" w:sz="0" w:space="0" w:color="auto"/>
    </w:rPr>
  </w:style>
  <w:style w:type="character" w:customStyle="1" w:styleId="layui-this4">
    <w:name w:val="layui-this4"/>
    <w:basedOn w:val="a0"/>
    <w:rPr>
      <w:bdr w:val="single" w:sz="6" w:space="0" w:color="EEEEE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259</Words>
  <Characters>1482</Characters>
  <Application>Microsoft Office Word</Application>
  <DocSecurity>0</DocSecurity>
  <Lines>12</Lines>
  <Paragraphs>3</Paragraphs>
  <ScaleCrop>false</ScaleCrop>
  <Company>Gxsti</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罗夏宁</cp:lastModifiedBy>
  <cp:revision>2</cp:revision>
  <dcterms:created xsi:type="dcterms:W3CDTF">2021-06-25T02:44:00Z</dcterms:created>
  <dcterms:modified xsi:type="dcterms:W3CDTF">2021-06-25T02:44:00Z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393009344_btnclosed</vt:lpwstr>
  </property>
  <property fmtid="{D5CDD505-2E9C-101B-9397-08002B2CF9AE}" pid="4" name="ICV">
    <vt:lpwstr>DA0F7010D7D14532B66551372738A54C</vt:lpwstr>
  </property>
</Properties>
</file>