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w:t>
      </w:r>
    </w:p>
    <w:p>
      <w:pPr>
        <w:ind w:firstLine="643" w:firstLineChars="200"/>
        <w:jc w:val="center"/>
        <w:rPr>
          <w:rFonts w:ascii="仿宋" w:hAnsi="仿宋" w:eastAsia="仿宋"/>
          <w:b/>
          <w:sz w:val="32"/>
          <w:szCs w:val="32"/>
        </w:rPr>
      </w:pPr>
      <w:r>
        <w:rPr>
          <w:rFonts w:hint="eastAsia" w:ascii="仿宋" w:hAnsi="仿宋" w:eastAsia="仿宋"/>
          <w:b/>
          <w:sz w:val="32"/>
          <w:szCs w:val="32"/>
        </w:rPr>
        <w:t>拟列入</w:t>
      </w:r>
      <w:r>
        <w:rPr>
          <w:rFonts w:ascii="仿宋" w:hAnsi="仿宋" w:eastAsia="仿宋"/>
          <w:b/>
          <w:sz w:val="32"/>
          <w:szCs w:val="32"/>
        </w:rPr>
        <w:t>南宁市2023</w:t>
      </w:r>
      <w:r>
        <w:rPr>
          <w:rFonts w:hint="eastAsia" w:ascii="仿宋" w:hAnsi="仿宋" w:eastAsia="仿宋"/>
          <w:b/>
          <w:sz w:val="32"/>
          <w:szCs w:val="32"/>
        </w:rPr>
        <w:t>年</w:t>
      </w:r>
      <w:r>
        <w:rPr>
          <w:rFonts w:ascii="仿宋" w:hAnsi="仿宋" w:eastAsia="仿宋"/>
          <w:b/>
          <w:sz w:val="32"/>
          <w:szCs w:val="32"/>
        </w:rPr>
        <w:t>下半年</w:t>
      </w:r>
      <w:r>
        <w:rPr>
          <w:rFonts w:hint="eastAsia" w:ascii="仿宋" w:hAnsi="仿宋" w:eastAsia="仿宋"/>
          <w:b/>
          <w:sz w:val="32"/>
          <w:szCs w:val="32"/>
        </w:rPr>
        <w:t>支持</w:t>
      </w:r>
      <w:r>
        <w:rPr>
          <w:rFonts w:ascii="仿宋" w:hAnsi="仿宋" w:eastAsia="仿宋"/>
          <w:b/>
          <w:sz w:val="32"/>
          <w:szCs w:val="32"/>
        </w:rPr>
        <w:t>工业</w:t>
      </w:r>
      <w:r>
        <w:rPr>
          <w:rFonts w:hint="eastAsia" w:ascii="仿宋" w:hAnsi="仿宋" w:eastAsia="仿宋"/>
          <w:b/>
          <w:sz w:val="32"/>
          <w:szCs w:val="32"/>
        </w:rPr>
        <w:t>经济</w:t>
      </w:r>
      <w:r>
        <w:rPr>
          <w:rFonts w:ascii="仿宋" w:hAnsi="仿宋" w:eastAsia="仿宋"/>
          <w:b/>
          <w:sz w:val="32"/>
          <w:szCs w:val="32"/>
        </w:rPr>
        <w:t>稳增长奖励（</w:t>
      </w:r>
      <w:r>
        <w:rPr>
          <w:rFonts w:hint="eastAsia" w:ascii="仿宋" w:hAnsi="仿宋" w:eastAsia="仿宋"/>
          <w:b/>
          <w:sz w:val="32"/>
          <w:szCs w:val="32"/>
        </w:rPr>
        <w:t>三季度工业</w:t>
      </w:r>
      <w:r>
        <w:rPr>
          <w:rFonts w:ascii="仿宋" w:hAnsi="仿宋" w:eastAsia="仿宋"/>
          <w:b/>
          <w:sz w:val="32"/>
          <w:szCs w:val="32"/>
        </w:rPr>
        <w:t>投资奖励）</w:t>
      </w:r>
      <w:r>
        <w:rPr>
          <w:rFonts w:hint="eastAsia" w:ascii="仿宋" w:hAnsi="仿宋" w:eastAsia="仿宋"/>
          <w:b/>
          <w:sz w:val="32"/>
          <w:szCs w:val="32"/>
        </w:rPr>
        <w:t>资金</w:t>
      </w:r>
      <w:r>
        <w:rPr>
          <w:rFonts w:ascii="仿宋" w:hAnsi="仿宋" w:eastAsia="仿宋"/>
          <w:b/>
          <w:sz w:val="32"/>
          <w:szCs w:val="32"/>
        </w:rPr>
        <w:t>计划名单</w:t>
      </w:r>
    </w:p>
    <w:p>
      <w:pPr>
        <w:spacing w:line="400" w:lineRule="exact"/>
        <w:ind w:firstLine="640" w:firstLineChars="200"/>
        <w:rPr>
          <w:rFonts w:ascii="方正小标宋简体" w:hAnsi="方正小标宋简体" w:eastAsia="方正小标宋简体"/>
          <w:sz w:val="32"/>
          <w:szCs w:val="32"/>
        </w:rPr>
      </w:pPr>
    </w:p>
    <w:tbl>
      <w:tblPr>
        <w:tblStyle w:val="6"/>
        <w:tblW w:w="8500" w:type="dxa"/>
        <w:tblInd w:w="0" w:type="dxa"/>
        <w:tblLayout w:type="autofit"/>
        <w:tblCellMar>
          <w:top w:w="0" w:type="dxa"/>
          <w:left w:w="108" w:type="dxa"/>
          <w:bottom w:w="0" w:type="dxa"/>
          <w:right w:w="108" w:type="dxa"/>
        </w:tblCellMar>
      </w:tblPr>
      <w:tblGrid>
        <w:gridCol w:w="520"/>
        <w:gridCol w:w="2780"/>
        <w:gridCol w:w="2780"/>
        <w:gridCol w:w="1180"/>
        <w:gridCol w:w="1240"/>
      </w:tblGrid>
      <w:tr>
        <w:tblPrEx>
          <w:tblCellMar>
            <w:top w:w="0" w:type="dxa"/>
            <w:left w:w="108" w:type="dxa"/>
            <w:bottom w:w="0" w:type="dxa"/>
            <w:right w:w="108" w:type="dxa"/>
          </w:tblCellMar>
        </w:tblPrEx>
        <w:trPr>
          <w:trHeight w:val="525" w:hRule="atLeast"/>
          <w:tblHeader/>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单位名称</w:t>
            </w:r>
          </w:p>
        </w:tc>
        <w:tc>
          <w:tcPr>
            <w:tcW w:w="2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项目名称</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属地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南宁交通资产管理有限责任公司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南宁东部产业新城智慧产业园及配套基础设施工程</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南宁市青秀区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南宁纵横时代建设投资有限公司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南宁东部产业新城新能源汽车产业园及配套基础设施工程</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南宁市青秀区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广西电网有限责任公司南宁供电局</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2023年南宁供电局电网建设投资项目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南宁市江南区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南宁吉昇新能源有限公司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邕宁吉电百济新平农光互补发电项目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南宁市邕宁区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广西南南铝箔有限责任公司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南南铝箔年产20万吨新能源电池铝箔技改项目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南宁市邕宁区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南宁产投兴能园区投资开发有限责任公司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产投兴宁卓能产业园项目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南宁市兴宁区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南宁蓄能发电有限公司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南宁抽水蓄能电站项目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南宁市武鸣区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上林县振林投资发展集团有限责任公司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上林县八角香料特色产业园（一期）及配套基础设施建设项目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南宁市上林县</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广西南宁当代丰耘投资管理有限公司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南宁中关村智慧显示产业园及配套基础设施项目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南宁市高新区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佛山市海天（南宁）调味食品有限公司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海天调味品生产基地建设项目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广西-东盟经济技术开发区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广西国潮铝业有限公司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年产20万吨新能源电池铝箔坯料项目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南宁市邕宁区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李宁体育（广西）有限公司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东盟李宁中心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广西-东盟经济技术开发区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广西龙源新能源有限公司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龙源广西横州市天堂岭640MW农光储一体化发电项目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南宁市横州市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南宁产投工业园区开发有限责任公司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产投铝基新材料产业园</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南宁市邕宁区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广西南宁当代丰耘投资管理有限公司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南宁六景化工园区项目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南宁市横州市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南宁产投智创江南投资开发有限责任公司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产投江南产业园</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南宁市江南区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2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广西华润红水河水泥有限公司</w:t>
            </w:r>
          </w:p>
        </w:tc>
        <w:tc>
          <w:tcPr>
            <w:tcW w:w="27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宾阳县黎塘镇龙马山石灰岩矿500万吨/年建筑石料用灰岩</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南宁市宾阳县</w:t>
            </w:r>
          </w:p>
        </w:tc>
        <w:tc>
          <w:tcPr>
            <w:tcW w:w="124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南宁产投电力有限责任公司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南宁产投汽车青秀产业园零件配套园</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南宁市青秀区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广西绿城水务股份有限公司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石埠水厂一期工程</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南宁市高新区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南宁产投智创科电投资开发有限责任公司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产投江南电子科技园</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南宁市江南区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横州建康环保科技有限责任公司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六景循环经济产业园生活垃圾焚烧发电厂项目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南宁市横州市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136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广西华宏水泥股份有限公司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广西华宏水泥股份有限公司水泥熟料生产线异地升级改造及协同处理城市废弃物循环经济工程项目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南宁市隆安县</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天丝红牛（广西）饮料有限公司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红牛饮料广西东盟经开区生产基地项目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广西-东盟经济技术开发区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广西大唐桂泰新能源有限公司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马山县林</w:t>
            </w:r>
            <w:r>
              <w:rPr>
                <w:rFonts w:hint="eastAsia" w:ascii="宋体" w:hAnsi="宋体" w:eastAsia="宋体" w:cs="宋体"/>
                <w:kern w:val="0"/>
                <w:sz w:val="20"/>
                <w:szCs w:val="20"/>
              </w:rPr>
              <w:br w:type="page"/>
            </w:r>
            <w:r>
              <w:rPr>
                <w:rFonts w:hint="eastAsia" w:ascii="宋体" w:hAnsi="宋体" w:eastAsia="宋体" w:cs="宋体"/>
                <w:kern w:val="0"/>
                <w:sz w:val="20"/>
                <w:szCs w:val="20"/>
              </w:rPr>
              <w:t>圩新华农</w:t>
            </w:r>
            <w:r>
              <w:rPr>
                <w:rFonts w:hint="eastAsia" w:ascii="宋体" w:hAnsi="宋体" w:eastAsia="宋体" w:cs="宋体"/>
                <w:kern w:val="0"/>
                <w:sz w:val="20"/>
                <w:szCs w:val="20"/>
              </w:rPr>
              <w:br w:type="page"/>
            </w:r>
            <w:r>
              <w:rPr>
                <w:rFonts w:hint="eastAsia" w:ascii="宋体" w:hAnsi="宋体" w:eastAsia="宋体" w:cs="宋体"/>
                <w:kern w:val="0"/>
                <w:sz w:val="20"/>
                <w:szCs w:val="20"/>
              </w:rPr>
              <w:t>光互补发电项目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南宁市马山县</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南宁东方雨虹防水材料有限公司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南宁东方雨虹防水材料有限公司生产基地项目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南宁市兴宁区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南宁中燃城市燃气发展有限公司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南宁市管道燃气基础设施及配套工程项目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南宁市经开区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南宁五象金众投资有限责任公司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五象投资创新型信息产业基地三期</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南宁市良庆区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28</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广西绿城水务股份有限公司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五象水厂取水泵房及原水管一期工程</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南宁市良庆区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29</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广西联讯智谷投资有限公司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兴宁联讯智谷科技企业孵化器</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南宁市兴宁区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30</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南宁京能清洁能源有限公司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京能南宁太阳纸业屋顶分布式光伏项目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南宁市横州市</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31</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南宁产投智创经开投资开发有限责任公司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产投经开海城产业园项目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南宁市经开区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32</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南宁产投工业园区开发有限责任公司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南宁产投创新产业园二期</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南宁市邕宁区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33</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南宁银杉电线电缆有限责任公司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南宁银杉智慧产业园项目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南宁市高新区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34</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广西绿城水务股份有限公司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五象水厂一期工程</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南宁市良庆区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南宁市福曦清洁能源有限公司</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高新区整区屋顶分布式光伏发电项目</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南宁市高新区</w:t>
            </w:r>
          </w:p>
        </w:tc>
        <w:tc>
          <w:tcPr>
            <w:tcW w:w="1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bl>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1" w:fontKey="{B84BDD52-EDC3-4CA8-99F0-110A396F6646}"/>
  </w:font>
  <w:font w:name="仿宋">
    <w:panose1 w:val="02010609060101010101"/>
    <w:charset w:val="86"/>
    <w:family w:val="modern"/>
    <w:pitch w:val="default"/>
    <w:sig w:usb0="800002BF" w:usb1="38CF7CFA" w:usb2="00000016" w:usb3="00000000" w:csb0="00040001" w:csb1="00000000"/>
    <w:embedRegular r:id="rId2" w:fontKey="{E5462EE9-75CB-4D12-894B-2D8328E3FB1E}"/>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mZmJmNTkzODNjYTcxYzQ5ZmRhOWJkODZiMWRmNTIifQ=="/>
  </w:docVars>
  <w:rsids>
    <w:rsidRoot w:val="00C876E9"/>
    <w:rsid w:val="000E41D1"/>
    <w:rsid w:val="001832C9"/>
    <w:rsid w:val="0021129B"/>
    <w:rsid w:val="002B5BCB"/>
    <w:rsid w:val="0030179B"/>
    <w:rsid w:val="00346DBF"/>
    <w:rsid w:val="00365108"/>
    <w:rsid w:val="00376FFB"/>
    <w:rsid w:val="004354EB"/>
    <w:rsid w:val="004412E0"/>
    <w:rsid w:val="004575B6"/>
    <w:rsid w:val="004D54E0"/>
    <w:rsid w:val="0060448C"/>
    <w:rsid w:val="00655246"/>
    <w:rsid w:val="00725A75"/>
    <w:rsid w:val="00781CDE"/>
    <w:rsid w:val="00867133"/>
    <w:rsid w:val="008B44CA"/>
    <w:rsid w:val="008D4504"/>
    <w:rsid w:val="00A46AF6"/>
    <w:rsid w:val="00A87E31"/>
    <w:rsid w:val="00AB3370"/>
    <w:rsid w:val="00AC3972"/>
    <w:rsid w:val="00B40147"/>
    <w:rsid w:val="00C876E9"/>
    <w:rsid w:val="00D05805"/>
    <w:rsid w:val="00E41372"/>
    <w:rsid w:val="00E9255B"/>
    <w:rsid w:val="00E928C0"/>
    <w:rsid w:val="00EA14E4"/>
    <w:rsid w:val="00EE09B0"/>
    <w:rsid w:val="00EE4F21"/>
    <w:rsid w:val="00F0428F"/>
    <w:rsid w:val="00F31477"/>
    <w:rsid w:val="00F31C46"/>
    <w:rsid w:val="00F412C9"/>
    <w:rsid w:val="00FF3529"/>
    <w:rsid w:val="5874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uiPriority w:val="99"/>
    <w:pPr>
      <w:ind w:left="100" w:leftChars="2500"/>
    </w:pPr>
  </w:style>
  <w:style w:type="paragraph" w:styleId="3">
    <w:name w:val="Balloon Text"/>
    <w:basedOn w:val="1"/>
    <w:link w:val="9"/>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uiPriority w:val="99"/>
  </w:style>
  <w:style w:type="character" w:customStyle="1" w:styleId="9">
    <w:name w:val="批注框文本 字符"/>
    <w:basedOn w:val="7"/>
    <w:link w:val="3"/>
    <w:semiHidden/>
    <w:uiPriority w:val="99"/>
    <w:rPr>
      <w:sz w:val="18"/>
      <w:szCs w:val="18"/>
    </w:r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315</Words>
  <Characters>1799</Characters>
  <Lines>14</Lines>
  <Paragraphs>4</Paragraphs>
  <TotalTime>74</TotalTime>
  <ScaleCrop>false</ScaleCrop>
  <LinksUpToDate>false</LinksUpToDate>
  <CharactersWithSpaces>2110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2023-06-29T07:16:00Z</dcterms:created>
  <dc:creator>王雅琴</dc:creator>
  <cp:lastModifiedBy>Amyvvv</cp:lastModifiedBy>
  <cp:lastPrinted>2023-12-12T07:50:00Z</cp:lastPrinted>
  <dcterms:modified xsi:type="dcterms:W3CDTF">2023-12-12T09:01:58Z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B6ECEF76B7BC4706BC3D94CF6D5EC628_13</vt:lpwstr>
  </property>
</Properties>
</file>